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r>
        <w:rPr>
          <w:rFonts w:hint="eastAsia"/>
          <w:b/>
          <w:bCs/>
          <w:sz w:val="48"/>
          <w:szCs w:val="48"/>
          <w:lang w:val="en-US" w:eastAsia="zh-CN"/>
        </w:rPr>
        <w:t>广东省医疗保障信息平台</w:t>
      </w: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r>
        <w:rPr>
          <w:rFonts w:hint="eastAsia"/>
          <w:b/>
          <w:bCs/>
          <w:sz w:val="48"/>
          <w:szCs w:val="48"/>
          <w:lang w:val="en-US" w:eastAsia="zh-CN"/>
        </w:rPr>
        <w:t>两定医疗机构API接口</w:t>
      </w: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r>
        <w:rPr>
          <w:rFonts w:hint="eastAsia"/>
          <w:b/>
          <w:bCs/>
          <w:sz w:val="48"/>
          <w:szCs w:val="48"/>
          <w:lang w:val="en-US" w:eastAsia="zh-CN"/>
        </w:rPr>
        <w:t>接入指引</w:t>
      </w: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spacing w:line="360" w:lineRule="auto"/>
        <w:jc w:val="center"/>
        <w:rPr>
          <w:rFonts w:hint="eastAsia"/>
          <w:b/>
          <w:bCs/>
          <w:sz w:val="48"/>
          <w:szCs w:val="4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为保障两定医药机构顺利接入广东省医疗保障信息平台（简称医保系统），并按时、按质、按量完成接口开发、联调、测试以及验收，特编制该文档，以供参考。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pPr>
        <w:numPr>
          <w:ilvl w:val="0"/>
          <w:numId w:val="1"/>
        </w:numPr>
        <w:spacing w:line="360" w:lineRule="auto"/>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医疗机构接入步骤说明</w:t>
      </w:r>
    </w:p>
    <w:p>
      <w:pPr>
        <w:numPr>
          <w:ilvl w:val="0"/>
          <w:numId w:val="2"/>
        </w:numPr>
        <w:spacing w:line="360" w:lineRule="auto"/>
        <w:ind w:firstLine="42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医药机构医保专网验证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广东省医疗保障信息平台整体部署在政务云专网，两定医药机构需打通医保专网才能连接到医保系统以及两定API接口服务。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测试环境网关地址为：igb.hsa.gdgov.cn，开放IP地址为：10.97.240.206，开放端口为 443端口和80端口，调用时，域名地址与IP地址需要绑定配置HOST。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正式环境地址上线前另行通知。</w:t>
      </w:r>
    </w:p>
    <w:p>
      <w:pPr>
        <w:numPr>
          <w:ilvl w:val="0"/>
          <w:numId w:val="2"/>
        </w:numPr>
        <w:spacing w:line="360" w:lineRule="auto"/>
        <w:ind w:firstLine="420" w:firstLineChars="0"/>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医药机构接口改造开发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两定医药机构根据省医保局下发的接口规范文档，进行医药机构内部系统接口改造，按照新接口规范标准要求，调用医保API接口服务，需完全遵循接口规范进行接口入参传值。</w:t>
      </w:r>
    </w:p>
    <w:p>
      <w:pPr>
        <w:numPr>
          <w:ilvl w:val="0"/>
          <w:numId w:val="2"/>
        </w:numPr>
        <w:spacing w:line="360" w:lineRule="auto"/>
        <w:ind w:firstLine="420" w:firstLineChars="0"/>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申请联调测试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两定医药</w:t>
      </w:r>
      <w:r>
        <w:rPr>
          <w:rFonts w:hint="default" w:ascii="宋体" w:hAnsi="宋体" w:eastAsia="宋体" w:cs="宋体"/>
          <w:b w:val="0"/>
          <w:bCs w:val="0"/>
          <w:sz w:val="21"/>
          <w:szCs w:val="21"/>
          <w:lang w:val="en-US" w:eastAsia="zh-CN"/>
        </w:rPr>
        <w:t>机构完成医保接口规范对接改造，且网络验证通过后，向地方医保局申请联调测试，地方医保局API接口负责人</w:t>
      </w:r>
      <w:r>
        <w:rPr>
          <w:rFonts w:hint="eastAsia" w:ascii="宋体" w:hAnsi="宋体" w:eastAsia="宋体" w:cs="宋体"/>
          <w:b w:val="0"/>
          <w:bCs w:val="0"/>
          <w:sz w:val="21"/>
          <w:szCs w:val="21"/>
          <w:lang w:val="en-US" w:eastAsia="zh-CN"/>
        </w:rPr>
        <w:t>将配合两定医药机构完成接口联调测试工作。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联调申请表见附件。</w:t>
      </w:r>
    </w:p>
    <w:p>
      <w:pPr>
        <w:numPr>
          <w:ilvl w:val="0"/>
          <w:numId w:val="2"/>
        </w:numPr>
        <w:spacing w:line="360" w:lineRule="auto"/>
        <w:ind w:firstLine="420" w:firstLineChars="0"/>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接口验收工作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两定医药</w:t>
      </w:r>
      <w:r>
        <w:rPr>
          <w:rFonts w:hint="default" w:ascii="宋体" w:hAnsi="宋体" w:eastAsia="宋体" w:cs="宋体"/>
          <w:b w:val="0"/>
          <w:bCs w:val="0"/>
          <w:sz w:val="21"/>
          <w:szCs w:val="21"/>
          <w:lang w:val="en-US" w:eastAsia="zh-CN"/>
        </w:rPr>
        <w:t>机构</w:t>
      </w:r>
      <w:r>
        <w:rPr>
          <w:rFonts w:hint="eastAsia" w:ascii="宋体" w:hAnsi="宋体" w:eastAsia="宋体" w:cs="宋体"/>
          <w:b w:val="0"/>
          <w:bCs w:val="0"/>
          <w:sz w:val="21"/>
          <w:szCs w:val="21"/>
          <w:lang w:val="en-US" w:eastAsia="zh-CN"/>
        </w:rPr>
        <w:t>完成</w:t>
      </w:r>
      <w:r>
        <w:rPr>
          <w:rFonts w:hint="default" w:ascii="宋体" w:hAnsi="宋体" w:eastAsia="宋体" w:cs="宋体"/>
          <w:b w:val="0"/>
          <w:bCs w:val="0"/>
          <w:sz w:val="21"/>
          <w:szCs w:val="21"/>
          <w:lang w:val="en-US" w:eastAsia="zh-CN"/>
        </w:rPr>
        <w:t>所有医保API接口服务联调测试通过后，向地方医保局申请接口验收，</w:t>
      </w:r>
      <w:r>
        <w:rPr>
          <w:rFonts w:hint="eastAsia" w:ascii="宋体" w:hAnsi="宋体" w:eastAsia="宋体" w:cs="宋体"/>
          <w:b w:val="0"/>
          <w:bCs w:val="0"/>
          <w:sz w:val="21"/>
          <w:szCs w:val="21"/>
          <w:lang w:val="en-US" w:eastAsia="zh-CN"/>
        </w:rPr>
        <w:t>地方API接口负责人将对提交验收申请的医疗机构进行接口核验，核验通过后完成接口验收。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接口验收申请以及验收表见附件。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p>
    <w:p>
      <w:pPr>
        <w:numPr>
          <w:ilvl w:val="0"/>
          <w:numId w:val="1"/>
        </w:numPr>
        <w:spacing w:line="360" w:lineRule="auto"/>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API接口调用服务说明</w:t>
      </w:r>
    </w:p>
    <w:p>
      <w:pPr>
        <w:numPr>
          <w:ilvl w:val="0"/>
          <w:numId w:val="3"/>
        </w:numPr>
        <w:spacing w:line="360" w:lineRule="auto"/>
        <w:ind w:left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API接口调用地址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API接口调用服务地址示例为http:// {IP地址或域名:端口}/ {应用账户编码}/{服务开放路径}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具体IP地址或域名、端口、应用账户编码、服务开放路径以医保系统承建商提供为准。</w:t>
      </w:r>
    </w:p>
    <w:p>
      <w:pPr>
        <w:numPr>
          <w:ilvl w:val="0"/>
          <w:numId w:val="3"/>
        </w:numPr>
        <w:spacing w:line="360" w:lineRule="auto"/>
        <w:ind w:leftChars="0"/>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API接口调用方式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cs="宋体"/>
        </w:rPr>
      </w:pPr>
      <w:r>
        <w:rPr>
          <w:rFonts w:hint="eastAsia" w:ascii="宋体" w:hAnsi="宋体" w:cs="宋体"/>
        </w:rPr>
        <w:t>Http</w:t>
      </w:r>
      <w:r>
        <w:rPr>
          <w:rFonts w:hint="eastAsia" w:ascii="宋体" w:hAnsi="宋体" w:eastAsia="宋体" w:cs="宋体"/>
          <w:b w:val="0"/>
          <w:bCs w:val="0"/>
          <w:sz w:val="21"/>
          <w:szCs w:val="21"/>
          <w:lang w:val="en-US" w:eastAsia="zh-CN"/>
        </w:rPr>
        <w:t>请求</w:t>
      </w:r>
      <w:r>
        <w:rPr>
          <w:rFonts w:hint="eastAsia" w:ascii="宋体" w:hAnsi="宋体" w:cs="宋体"/>
        </w:rPr>
        <w:t>方法：post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cs="宋体"/>
        </w:rPr>
      </w:pPr>
      <w:r>
        <w:rPr>
          <w:rFonts w:hint="eastAsia" w:ascii="宋体" w:hAnsi="宋体" w:cs="宋体"/>
        </w:rPr>
        <w:t xml:space="preserve">Http </w:t>
      </w:r>
      <w:r>
        <w:rPr>
          <w:rFonts w:hint="eastAsia" w:ascii="宋体" w:hAnsi="宋体" w:eastAsia="宋体" w:cs="宋体"/>
          <w:b w:val="0"/>
          <w:bCs w:val="0"/>
          <w:sz w:val="21"/>
          <w:szCs w:val="21"/>
          <w:lang w:val="en-US" w:eastAsia="zh-CN"/>
        </w:rPr>
        <w:t>MIME</w:t>
      </w:r>
      <w:r>
        <w:rPr>
          <w:rFonts w:hint="eastAsia" w:ascii="宋体" w:hAnsi="宋体" w:cs="宋体"/>
        </w:rPr>
        <w:t>类型: Content-Type: application/json</w:t>
      </w:r>
    </w:p>
    <w:p>
      <w:pPr>
        <w:pStyle w:val="2"/>
        <w:spacing w:before="120" w:after="120" w:line="360" w:lineRule="auto"/>
        <w:rPr>
          <w:rFonts w:ascii="宋体" w:hAnsi="宋体"/>
          <w:b/>
          <w:sz w:val="18"/>
          <w:szCs w:val="18"/>
        </w:rPr>
      </w:pPr>
      <w:r>
        <w:rPr>
          <w:rFonts w:hint="eastAsia" w:ascii="宋体" w:hAnsi="宋体"/>
          <w:b/>
          <w:sz w:val="18"/>
          <w:szCs w:val="18"/>
        </w:rPr>
        <w:t>表格</w:t>
      </w:r>
      <w:r>
        <w:rPr>
          <w:rFonts w:ascii="宋体" w:hAnsi="宋体"/>
          <w:b/>
          <w:sz w:val="18"/>
          <w:szCs w:val="18"/>
        </w:rPr>
        <w:fldChar w:fldCharType="begin"/>
      </w:r>
      <w:r>
        <w:rPr>
          <w:rFonts w:ascii="宋体" w:hAnsi="宋体"/>
          <w:b/>
          <w:sz w:val="18"/>
          <w:szCs w:val="18"/>
        </w:rPr>
        <w:instrText xml:space="preserve"> </w:instrText>
      </w:r>
      <w:r>
        <w:rPr>
          <w:rFonts w:hint="eastAsia" w:ascii="宋体" w:hAnsi="宋体"/>
          <w:b/>
          <w:sz w:val="18"/>
          <w:szCs w:val="18"/>
        </w:rPr>
        <w:instrText xml:space="preserve">STYLEREF 1 \s</w:instrText>
      </w:r>
      <w:r>
        <w:rPr>
          <w:rFonts w:ascii="宋体" w:hAnsi="宋体"/>
          <w:b/>
          <w:sz w:val="18"/>
          <w:szCs w:val="18"/>
        </w:rPr>
        <w:instrText xml:space="preserve"> </w:instrText>
      </w:r>
      <w:r>
        <w:rPr>
          <w:rFonts w:ascii="宋体" w:hAnsi="宋体"/>
          <w:b/>
          <w:sz w:val="18"/>
          <w:szCs w:val="18"/>
        </w:rPr>
        <w:fldChar w:fldCharType="separate"/>
      </w:r>
      <w:r>
        <w:rPr>
          <w:rFonts w:ascii="宋体" w:hAnsi="宋体"/>
          <w:b/>
          <w:sz w:val="18"/>
          <w:szCs w:val="18"/>
        </w:rPr>
        <w:t>2</w:t>
      </w:r>
      <w:r>
        <w:rPr>
          <w:rFonts w:ascii="宋体" w:hAnsi="宋体"/>
          <w:b/>
          <w:sz w:val="18"/>
          <w:szCs w:val="18"/>
        </w:rPr>
        <w:fldChar w:fldCharType="end"/>
      </w:r>
      <w:r>
        <w:rPr>
          <w:rFonts w:hint="eastAsia" w:ascii="宋体" w:hAnsi="宋体"/>
          <w:b/>
          <w:sz w:val="18"/>
          <w:szCs w:val="18"/>
        </w:rPr>
        <w:t>服务请求头定义</w:t>
      </w:r>
    </w:p>
    <w:tbl>
      <w:tblPr>
        <w:tblStyle w:val="4"/>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01"/>
        <w:gridCol w:w="1406"/>
        <w:gridCol w:w="1605"/>
        <w:gridCol w:w="689"/>
        <w:gridCol w:w="498"/>
        <w:gridCol w:w="548"/>
        <w:gridCol w:w="444"/>
        <w:gridCol w:w="2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24" w:hRule="atLeast"/>
          <w:tblHeader/>
        </w:trPr>
        <w:tc>
          <w:tcPr>
            <w:tcW w:w="301" w:type="dxa"/>
            <w:tcBorders>
              <w:top w:val="single" w:color="auto" w:sz="4" w:space="0"/>
              <w:left w:val="single" w:color="auto" w:sz="4" w:space="0"/>
              <w:bottom w:val="single" w:color="auto" w:sz="4" w:space="0"/>
              <w:right w:val="single" w:color="auto" w:sz="4" w:space="0"/>
            </w:tcBorders>
            <w:shd w:val="clear" w:color="auto" w:fill="D8D8D8"/>
            <w:vAlign w:val="center"/>
          </w:tcPr>
          <w:p>
            <w:pPr>
              <w:widowControl w:val="0"/>
              <w:spacing w:line="360" w:lineRule="auto"/>
              <w:jc w:val="center"/>
              <w:rPr>
                <w:rFonts w:ascii="宋体" w:hAnsi="宋体" w:cs="宋体"/>
                <w:color w:val="000000"/>
                <w:sz w:val="18"/>
                <w:szCs w:val="18"/>
              </w:rPr>
            </w:pPr>
            <w:r>
              <w:rPr>
                <w:rFonts w:hint="eastAsia" w:ascii="宋体" w:hAnsi="宋体" w:cs="宋体"/>
                <w:color w:val="000000"/>
                <w:sz w:val="18"/>
                <w:szCs w:val="18"/>
              </w:rPr>
              <w:t>序号</w:t>
            </w:r>
          </w:p>
        </w:tc>
        <w:tc>
          <w:tcPr>
            <w:tcW w:w="1406" w:type="dxa"/>
            <w:tcBorders>
              <w:top w:val="single" w:color="auto" w:sz="4" w:space="0"/>
              <w:left w:val="nil"/>
              <w:bottom w:val="single" w:color="auto" w:sz="4" w:space="0"/>
              <w:right w:val="single" w:color="auto" w:sz="4" w:space="0"/>
            </w:tcBorders>
            <w:shd w:val="clear" w:color="auto" w:fill="D8D8D8"/>
            <w:vAlign w:val="center"/>
          </w:tcPr>
          <w:p>
            <w:pPr>
              <w:widowControl w:val="0"/>
              <w:spacing w:line="360" w:lineRule="auto"/>
              <w:jc w:val="center"/>
              <w:rPr>
                <w:rFonts w:ascii="宋体" w:hAnsi="宋体" w:cs="宋体"/>
                <w:color w:val="000000"/>
                <w:sz w:val="18"/>
                <w:szCs w:val="18"/>
              </w:rPr>
            </w:pPr>
            <w:r>
              <w:rPr>
                <w:rFonts w:hint="eastAsia" w:ascii="宋体" w:hAnsi="宋体" w:cs="宋体"/>
                <w:color w:val="000000"/>
                <w:sz w:val="18"/>
                <w:szCs w:val="18"/>
              </w:rPr>
              <w:t>数据元标识</w:t>
            </w:r>
          </w:p>
        </w:tc>
        <w:tc>
          <w:tcPr>
            <w:tcW w:w="1605" w:type="dxa"/>
            <w:tcBorders>
              <w:top w:val="single" w:color="auto" w:sz="4" w:space="0"/>
              <w:left w:val="nil"/>
              <w:bottom w:val="single" w:color="auto" w:sz="4" w:space="0"/>
              <w:right w:val="single" w:color="auto" w:sz="4" w:space="0"/>
            </w:tcBorders>
            <w:shd w:val="clear" w:color="auto" w:fill="D8D8D8"/>
            <w:vAlign w:val="center"/>
          </w:tcPr>
          <w:p>
            <w:pPr>
              <w:widowControl w:val="0"/>
              <w:spacing w:line="360" w:lineRule="auto"/>
              <w:jc w:val="center"/>
              <w:rPr>
                <w:rFonts w:ascii="宋体" w:hAnsi="宋体" w:cs="宋体"/>
                <w:color w:val="000000"/>
                <w:sz w:val="18"/>
                <w:szCs w:val="18"/>
              </w:rPr>
            </w:pPr>
            <w:r>
              <w:rPr>
                <w:rFonts w:hint="eastAsia" w:ascii="宋体" w:hAnsi="宋体" w:cs="宋体"/>
                <w:color w:val="000000"/>
                <w:sz w:val="18"/>
                <w:szCs w:val="18"/>
              </w:rPr>
              <w:t>数据元名称</w:t>
            </w:r>
          </w:p>
        </w:tc>
        <w:tc>
          <w:tcPr>
            <w:tcW w:w="689" w:type="dxa"/>
            <w:tcBorders>
              <w:top w:val="single" w:color="auto" w:sz="4" w:space="0"/>
              <w:left w:val="nil"/>
              <w:bottom w:val="single" w:color="auto" w:sz="4" w:space="0"/>
              <w:right w:val="single" w:color="auto" w:sz="4" w:space="0"/>
            </w:tcBorders>
            <w:shd w:val="clear" w:color="auto" w:fill="D8D8D8"/>
            <w:vAlign w:val="center"/>
          </w:tcPr>
          <w:p>
            <w:pPr>
              <w:widowControl w:val="0"/>
              <w:spacing w:line="360" w:lineRule="auto"/>
              <w:jc w:val="center"/>
              <w:rPr>
                <w:rFonts w:ascii="宋体" w:hAnsi="宋体" w:cs="宋体"/>
                <w:color w:val="000000"/>
                <w:sz w:val="18"/>
                <w:szCs w:val="18"/>
              </w:rPr>
            </w:pPr>
            <w:r>
              <w:rPr>
                <w:rFonts w:hint="eastAsia" w:ascii="宋体" w:hAnsi="宋体" w:cs="宋体"/>
                <w:color w:val="000000"/>
                <w:sz w:val="18"/>
                <w:szCs w:val="18"/>
              </w:rPr>
              <w:t>类型</w:t>
            </w:r>
          </w:p>
        </w:tc>
        <w:tc>
          <w:tcPr>
            <w:tcW w:w="498" w:type="dxa"/>
            <w:tcBorders>
              <w:top w:val="single" w:color="auto" w:sz="4" w:space="0"/>
              <w:left w:val="nil"/>
              <w:bottom w:val="single" w:color="auto" w:sz="4" w:space="0"/>
              <w:right w:val="single" w:color="auto" w:sz="4" w:space="0"/>
            </w:tcBorders>
            <w:shd w:val="clear" w:color="auto" w:fill="D8D8D8"/>
            <w:vAlign w:val="center"/>
          </w:tcPr>
          <w:p>
            <w:pPr>
              <w:widowControl w:val="0"/>
              <w:spacing w:line="360" w:lineRule="auto"/>
              <w:jc w:val="center"/>
              <w:rPr>
                <w:rFonts w:ascii="宋体" w:hAnsi="宋体" w:cs="宋体"/>
                <w:color w:val="000000"/>
                <w:sz w:val="18"/>
                <w:szCs w:val="18"/>
              </w:rPr>
            </w:pPr>
            <w:r>
              <w:rPr>
                <w:rFonts w:hint="eastAsia" w:ascii="宋体" w:hAnsi="宋体" w:cs="宋体"/>
                <w:color w:val="000000"/>
                <w:sz w:val="18"/>
                <w:szCs w:val="18"/>
              </w:rPr>
              <w:t>长度</w:t>
            </w:r>
          </w:p>
        </w:tc>
        <w:tc>
          <w:tcPr>
            <w:tcW w:w="548" w:type="dxa"/>
            <w:tcBorders>
              <w:top w:val="single" w:color="auto" w:sz="4" w:space="0"/>
              <w:left w:val="nil"/>
              <w:bottom w:val="single" w:color="auto" w:sz="4" w:space="0"/>
              <w:right w:val="single" w:color="auto" w:sz="4" w:space="0"/>
            </w:tcBorders>
            <w:shd w:val="clear" w:color="auto" w:fill="D8D8D8"/>
            <w:vAlign w:val="center"/>
          </w:tcPr>
          <w:p>
            <w:pPr>
              <w:widowControl w:val="0"/>
              <w:spacing w:line="360" w:lineRule="auto"/>
              <w:jc w:val="center"/>
              <w:rPr>
                <w:rFonts w:ascii="宋体" w:hAnsi="宋体" w:cs="宋体"/>
                <w:color w:val="000000"/>
                <w:sz w:val="18"/>
                <w:szCs w:val="18"/>
              </w:rPr>
            </w:pPr>
            <w:r>
              <w:rPr>
                <w:rFonts w:hint="eastAsia" w:ascii="宋体" w:hAnsi="宋体" w:cs="宋体"/>
                <w:color w:val="000000"/>
                <w:sz w:val="18"/>
                <w:szCs w:val="18"/>
              </w:rPr>
              <w:t>代码标识</w:t>
            </w:r>
          </w:p>
        </w:tc>
        <w:tc>
          <w:tcPr>
            <w:tcW w:w="444" w:type="dxa"/>
            <w:tcBorders>
              <w:top w:val="single" w:color="auto" w:sz="4" w:space="0"/>
              <w:left w:val="nil"/>
              <w:bottom w:val="single" w:color="auto" w:sz="4" w:space="0"/>
              <w:right w:val="single" w:color="auto" w:sz="4" w:space="0"/>
            </w:tcBorders>
            <w:shd w:val="clear" w:color="auto" w:fill="D8D8D8"/>
            <w:vAlign w:val="center"/>
          </w:tcPr>
          <w:p>
            <w:pPr>
              <w:widowControl w:val="0"/>
              <w:spacing w:line="360" w:lineRule="auto"/>
              <w:jc w:val="center"/>
              <w:rPr>
                <w:rFonts w:ascii="宋体" w:hAnsi="宋体" w:cs="宋体"/>
                <w:color w:val="000000"/>
                <w:sz w:val="18"/>
                <w:szCs w:val="18"/>
              </w:rPr>
            </w:pPr>
            <w:r>
              <w:rPr>
                <w:rFonts w:hint="eastAsia" w:ascii="宋体" w:hAnsi="宋体" w:cs="宋体"/>
                <w:color w:val="000000"/>
                <w:sz w:val="18"/>
                <w:szCs w:val="18"/>
              </w:rPr>
              <w:t>是否必填</w:t>
            </w:r>
          </w:p>
        </w:tc>
        <w:tc>
          <w:tcPr>
            <w:tcW w:w="2871" w:type="dxa"/>
            <w:tcBorders>
              <w:top w:val="single" w:color="auto" w:sz="4" w:space="0"/>
              <w:left w:val="nil"/>
              <w:bottom w:val="single" w:color="auto" w:sz="4" w:space="0"/>
              <w:right w:val="single" w:color="auto" w:sz="4" w:space="0"/>
            </w:tcBorders>
            <w:shd w:val="clear" w:color="auto" w:fill="D8D8D8"/>
            <w:vAlign w:val="center"/>
          </w:tcPr>
          <w:p>
            <w:pPr>
              <w:widowControl w:val="0"/>
              <w:spacing w:line="360" w:lineRule="auto"/>
              <w:jc w:val="center"/>
              <w:rPr>
                <w:rFonts w:ascii="宋体" w:hAnsi="宋体" w:cs="宋体"/>
                <w:color w:val="000000"/>
                <w:sz w:val="18"/>
                <w:szCs w:val="18"/>
              </w:rPr>
            </w:pPr>
            <w:r>
              <w:rPr>
                <w:rFonts w:hint="eastAsia" w:ascii="宋体" w:hAnsi="宋体" w:cs="宋体"/>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24" w:hRule="atLeast"/>
        </w:trPr>
        <w:tc>
          <w:tcPr>
            <w:tcW w:w="301" w:type="dxa"/>
            <w:tcBorders>
              <w:top w:val="single" w:color="auto" w:sz="4" w:space="0"/>
              <w:left w:val="single" w:color="auto" w:sz="4" w:space="0"/>
              <w:bottom w:val="single" w:color="auto" w:sz="4" w:space="0"/>
              <w:right w:val="single" w:color="auto" w:sz="4" w:space="0"/>
            </w:tcBorders>
            <w:vAlign w:val="center"/>
          </w:tcPr>
          <w:p>
            <w:pPr>
              <w:pStyle w:val="6"/>
              <w:widowControl w:val="0"/>
              <w:numPr>
                <w:ilvl w:val="0"/>
                <w:numId w:val="4"/>
              </w:numPr>
              <w:spacing w:line="360" w:lineRule="auto"/>
              <w:ind w:firstLineChars="0"/>
              <w:jc w:val="center"/>
              <w:rPr>
                <w:rFonts w:ascii="宋体" w:hAnsi="宋体" w:cs="宋体"/>
                <w:color w:val="000000"/>
                <w:sz w:val="18"/>
                <w:szCs w:val="18"/>
              </w:rPr>
            </w:pPr>
          </w:p>
        </w:tc>
        <w:tc>
          <w:tcPr>
            <w:tcW w:w="1406"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x-tif-paasid</w:t>
            </w:r>
          </w:p>
        </w:tc>
        <w:tc>
          <w:tcPr>
            <w:tcW w:w="1605"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应用编码</w:t>
            </w:r>
          </w:p>
        </w:tc>
        <w:tc>
          <w:tcPr>
            <w:tcW w:w="689"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字符型</w:t>
            </w:r>
          </w:p>
        </w:tc>
        <w:tc>
          <w:tcPr>
            <w:tcW w:w="498"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100</w:t>
            </w:r>
          </w:p>
        </w:tc>
        <w:tc>
          <w:tcPr>
            <w:tcW w:w="548"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p>
        </w:tc>
        <w:tc>
          <w:tcPr>
            <w:tcW w:w="444"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Y</w:t>
            </w:r>
          </w:p>
        </w:tc>
        <w:tc>
          <w:tcPr>
            <w:tcW w:w="2871"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both"/>
              <w:rPr>
                <w:rFonts w:ascii="宋体" w:hAnsi="宋体" w:cs="宋体"/>
                <w:sz w:val="18"/>
                <w:szCs w:val="18"/>
              </w:rPr>
            </w:pPr>
            <w:r>
              <w:rPr>
                <w:rFonts w:hint="eastAsia" w:ascii="宋体" w:hAnsi="宋体" w:cs="宋体"/>
                <w:color w:val="000000"/>
                <w:sz w:val="18"/>
                <w:szCs w:val="18"/>
              </w:rPr>
              <w:t>在创建账户时自动生成应用编码和密钥（secretKey私钥）。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24" w:hRule="atLeast"/>
        </w:trPr>
        <w:tc>
          <w:tcPr>
            <w:tcW w:w="301" w:type="dxa"/>
            <w:tcBorders>
              <w:top w:val="single" w:color="auto" w:sz="4" w:space="0"/>
              <w:left w:val="single" w:color="auto" w:sz="4" w:space="0"/>
              <w:bottom w:val="single" w:color="auto" w:sz="4" w:space="0"/>
              <w:right w:val="single" w:color="auto" w:sz="4" w:space="0"/>
            </w:tcBorders>
            <w:vAlign w:val="center"/>
          </w:tcPr>
          <w:p>
            <w:pPr>
              <w:pStyle w:val="6"/>
              <w:widowControl w:val="0"/>
              <w:numPr>
                <w:ilvl w:val="0"/>
                <w:numId w:val="4"/>
              </w:numPr>
              <w:spacing w:line="360" w:lineRule="auto"/>
              <w:ind w:firstLineChars="0"/>
              <w:jc w:val="center"/>
              <w:rPr>
                <w:rFonts w:ascii="宋体" w:hAnsi="宋体" w:cs="宋体"/>
                <w:color w:val="000000"/>
                <w:sz w:val="18"/>
                <w:szCs w:val="18"/>
              </w:rPr>
            </w:pPr>
          </w:p>
        </w:tc>
        <w:tc>
          <w:tcPr>
            <w:tcW w:w="1406"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x-tif-signature</w:t>
            </w:r>
          </w:p>
        </w:tc>
        <w:tc>
          <w:tcPr>
            <w:tcW w:w="1605"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签名</w:t>
            </w:r>
          </w:p>
        </w:tc>
        <w:tc>
          <w:tcPr>
            <w:tcW w:w="689"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字符型</w:t>
            </w:r>
          </w:p>
        </w:tc>
        <w:tc>
          <w:tcPr>
            <w:tcW w:w="498"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300</w:t>
            </w:r>
          </w:p>
        </w:tc>
        <w:tc>
          <w:tcPr>
            <w:tcW w:w="548"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p>
        </w:tc>
        <w:tc>
          <w:tcPr>
            <w:tcW w:w="444"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Y</w:t>
            </w:r>
          </w:p>
        </w:tc>
        <w:tc>
          <w:tcPr>
            <w:tcW w:w="2871" w:type="dxa"/>
            <w:tcBorders>
              <w:top w:val="single" w:color="auto" w:sz="4" w:space="0"/>
              <w:left w:val="nil"/>
              <w:bottom w:val="single" w:color="auto" w:sz="4" w:space="0"/>
              <w:right w:val="single" w:color="auto" w:sz="4" w:space="0"/>
            </w:tcBorders>
            <w:vAlign w:val="center"/>
          </w:tcPr>
          <w:p>
            <w:pPr>
              <w:spacing w:line="360" w:lineRule="auto"/>
              <w:jc w:val="both"/>
              <w:rPr>
                <w:rFonts w:ascii="宋体" w:hAnsi="宋体" w:cs="宋体"/>
                <w:sz w:val="18"/>
                <w:szCs w:val="18"/>
              </w:rPr>
            </w:pPr>
            <w:r>
              <w:rPr>
                <w:rFonts w:hint="eastAsia" w:ascii="宋体" w:hAnsi="宋体" w:cs="宋体"/>
                <w:color w:val="000000"/>
                <w:sz w:val="18"/>
                <w:szCs w:val="18"/>
              </w:rPr>
              <w:t>Sha256加密生成的签名。x-tif-signature = sha256(x-tif-timestamp + secretKey+ x-tif-nonce + xtif-timestamp)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24" w:hRule="atLeast"/>
        </w:trPr>
        <w:tc>
          <w:tcPr>
            <w:tcW w:w="301" w:type="dxa"/>
            <w:tcBorders>
              <w:top w:val="single" w:color="auto" w:sz="4" w:space="0"/>
              <w:left w:val="single" w:color="auto" w:sz="4" w:space="0"/>
              <w:bottom w:val="single" w:color="auto" w:sz="4" w:space="0"/>
              <w:right w:val="single" w:color="auto" w:sz="4" w:space="0"/>
            </w:tcBorders>
            <w:vAlign w:val="center"/>
          </w:tcPr>
          <w:p>
            <w:pPr>
              <w:pStyle w:val="6"/>
              <w:widowControl w:val="0"/>
              <w:numPr>
                <w:ilvl w:val="0"/>
                <w:numId w:val="4"/>
              </w:numPr>
              <w:spacing w:line="360" w:lineRule="auto"/>
              <w:ind w:firstLineChars="0"/>
              <w:jc w:val="center"/>
              <w:rPr>
                <w:rFonts w:ascii="宋体" w:hAnsi="宋体" w:cs="宋体"/>
                <w:color w:val="000000"/>
                <w:sz w:val="18"/>
                <w:szCs w:val="18"/>
              </w:rPr>
            </w:pPr>
          </w:p>
        </w:tc>
        <w:tc>
          <w:tcPr>
            <w:tcW w:w="1406"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x-tif-timestamp</w:t>
            </w:r>
          </w:p>
        </w:tc>
        <w:tc>
          <w:tcPr>
            <w:tcW w:w="1605"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时间</w:t>
            </w:r>
          </w:p>
        </w:tc>
        <w:tc>
          <w:tcPr>
            <w:tcW w:w="689"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时间戳</w:t>
            </w:r>
          </w:p>
        </w:tc>
        <w:tc>
          <w:tcPr>
            <w:tcW w:w="498"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p>
        </w:tc>
        <w:tc>
          <w:tcPr>
            <w:tcW w:w="548"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p>
        </w:tc>
        <w:tc>
          <w:tcPr>
            <w:tcW w:w="444"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Y</w:t>
            </w:r>
          </w:p>
        </w:tc>
        <w:tc>
          <w:tcPr>
            <w:tcW w:w="2871"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both"/>
              <w:rPr>
                <w:rFonts w:ascii="宋体" w:hAnsi="宋体" w:cs="宋体"/>
                <w:sz w:val="18"/>
                <w:szCs w:val="18"/>
              </w:rPr>
            </w:pPr>
            <w:r>
              <w:rPr>
                <w:rFonts w:hint="eastAsia" w:ascii="宋体" w:hAnsi="宋体" w:cs="宋体"/>
                <w:color w:val="000000"/>
                <w:sz w:val="18"/>
                <w:szCs w:val="18"/>
              </w:rPr>
              <w:t>当前 unix 时间戳（秒）</w:t>
            </w: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24" w:hRule="atLeast"/>
        </w:trPr>
        <w:tc>
          <w:tcPr>
            <w:tcW w:w="301" w:type="dxa"/>
            <w:tcBorders>
              <w:top w:val="single" w:color="auto" w:sz="4" w:space="0"/>
              <w:left w:val="single" w:color="auto" w:sz="4" w:space="0"/>
              <w:bottom w:val="single" w:color="auto" w:sz="4" w:space="0"/>
              <w:right w:val="single" w:color="auto" w:sz="4" w:space="0"/>
            </w:tcBorders>
            <w:vAlign w:val="center"/>
          </w:tcPr>
          <w:p>
            <w:pPr>
              <w:pStyle w:val="6"/>
              <w:widowControl w:val="0"/>
              <w:numPr>
                <w:ilvl w:val="0"/>
                <w:numId w:val="4"/>
              </w:numPr>
              <w:spacing w:line="360" w:lineRule="auto"/>
              <w:ind w:firstLineChars="0"/>
              <w:jc w:val="center"/>
              <w:rPr>
                <w:rFonts w:ascii="宋体" w:hAnsi="宋体" w:cs="宋体"/>
                <w:color w:val="000000"/>
                <w:sz w:val="18"/>
                <w:szCs w:val="18"/>
              </w:rPr>
            </w:pPr>
          </w:p>
        </w:tc>
        <w:tc>
          <w:tcPr>
            <w:tcW w:w="1406"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x-tif-nonce</w:t>
            </w:r>
          </w:p>
        </w:tc>
        <w:tc>
          <w:tcPr>
            <w:tcW w:w="1605"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校验码</w:t>
            </w:r>
          </w:p>
        </w:tc>
        <w:tc>
          <w:tcPr>
            <w:tcW w:w="689"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字符型</w:t>
            </w:r>
          </w:p>
        </w:tc>
        <w:tc>
          <w:tcPr>
            <w:tcW w:w="498"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100</w:t>
            </w:r>
          </w:p>
        </w:tc>
        <w:tc>
          <w:tcPr>
            <w:tcW w:w="548"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p>
        </w:tc>
        <w:tc>
          <w:tcPr>
            <w:tcW w:w="444"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宋体"/>
                <w:color w:val="000000"/>
                <w:sz w:val="18"/>
                <w:szCs w:val="18"/>
              </w:rPr>
            </w:pPr>
            <w:r>
              <w:rPr>
                <w:rFonts w:hint="eastAsia" w:ascii="宋体" w:hAnsi="宋体" w:cs="宋体"/>
                <w:color w:val="000000"/>
                <w:sz w:val="18"/>
                <w:szCs w:val="18"/>
              </w:rPr>
              <w:t>Y</w:t>
            </w:r>
          </w:p>
        </w:tc>
        <w:tc>
          <w:tcPr>
            <w:tcW w:w="2871"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both"/>
              <w:rPr>
                <w:rFonts w:ascii="宋体" w:hAnsi="宋体" w:cs="宋体"/>
                <w:sz w:val="18"/>
                <w:szCs w:val="18"/>
              </w:rPr>
            </w:pPr>
            <w:r>
              <w:rPr>
                <w:rFonts w:hint="eastAsia" w:ascii="宋体" w:hAnsi="宋体" w:cs="宋体"/>
                <w:color w:val="000000"/>
                <w:sz w:val="18"/>
                <w:szCs w:val="18"/>
              </w:rPr>
              <w:t>非重复的随机字符串（十分钟内不能重复）。</w:t>
            </w:r>
          </w:p>
        </w:tc>
      </w:tr>
    </w:tbl>
    <w:p>
      <w:pPr>
        <w:numPr>
          <w:ilvl w:val="0"/>
          <w:numId w:val="0"/>
        </w:numPr>
        <w:spacing w:line="360" w:lineRule="auto"/>
        <w:jc w:val="both"/>
        <w:rPr>
          <w:rFonts w:hint="default" w:ascii="宋体" w:hAnsi="宋体" w:eastAsia="宋体" w:cs="宋体"/>
          <w:b w:val="0"/>
          <w:bCs w:val="0"/>
          <w:sz w:val="21"/>
          <w:szCs w:val="21"/>
          <w:lang w:val="en-US" w:eastAsia="zh-CN"/>
        </w:rPr>
      </w:pPr>
    </w:p>
    <w:p>
      <w:pPr>
        <w:numPr>
          <w:ilvl w:val="0"/>
          <w:numId w:val="3"/>
        </w:numPr>
        <w:spacing w:line="360" w:lineRule="auto"/>
        <w:ind w:leftChars="0"/>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API接口响应内容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cs="宋体"/>
        </w:rPr>
      </w:pPr>
      <w:r>
        <w:rPr>
          <w:rFonts w:hint="eastAsia" w:ascii="宋体" w:hAnsi="宋体" w:cs="宋体"/>
        </w:rPr>
        <w:t>API接口服务响应分为两类，一类是正常响应，一类是异常响应。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cs="宋体"/>
        </w:rPr>
      </w:pPr>
      <w:r>
        <w:rPr>
          <w:rFonts w:hint="eastAsia" w:ascii="宋体" w:hAnsi="宋体" w:cs="宋体"/>
        </w:rPr>
        <w:t>正常</w:t>
      </w:r>
      <w:r>
        <w:rPr>
          <w:rFonts w:hint="eastAsia" w:ascii="宋体" w:hAnsi="宋体" w:eastAsia="宋体" w:cs="宋体"/>
          <w:b w:val="0"/>
          <w:bCs w:val="0"/>
          <w:sz w:val="21"/>
          <w:szCs w:val="21"/>
          <w:lang w:val="en-US" w:eastAsia="zh-CN"/>
        </w:rPr>
        <w:t>响应</w:t>
      </w:r>
      <w:r>
        <w:rPr>
          <w:rFonts w:hint="eastAsia" w:ascii="宋体" w:hAnsi="宋体" w:cs="宋体"/>
        </w:rPr>
        <w:t>时，</w:t>
      </w:r>
      <w:r>
        <w:rPr>
          <w:rFonts w:ascii="宋体" w:hAnsi="宋体" w:cs="宋体"/>
        </w:rPr>
        <w:t>API</w:t>
      </w:r>
      <w:r>
        <w:rPr>
          <w:rFonts w:hint="eastAsia" w:ascii="宋体" w:hAnsi="宋体" w:cs="宋体"/>
        </w:rPr>
        <w:t>接口服务直接把结果透传给调用者，不做任何操作。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cs="宋体"/>
        </w:rPr>
      </w:pPr>
      <w:r>
        <w:rPr>
          <w:rFonts w:hint="eastAsia" w:ascii="宋体" w:hAnsi="宋体" w:cs="宋体"/>
        </w:rPr>
        <w:t>异常</w:t>
      </w:r>
      <w:r>
        <w:rPr>
          <w:rFonts w:hint="eastAsia" w:ascii="宋体" w:hAnsi="宋体" w:eastAsia="宋体" w:cs="宋体"/>
          <w:b w:val="0"/>
          <w:bCs w:val="0"/>
          <w:sz w:val="21"/>
          <w:szCs w:val="21"/>
          <w:lang w:val="en-US" w:eastAsia="zh-CN"/>
        </w:rPr>
        <w:t>响应</w:t>
      </w:r>
      <w:r>
        <w:rPr>
          <w:rFonts w:hint="eastAsia" w:ascii="宋体" w:hAnsi="宋体" w:cs="宋体"/>
        </w:rPr>
        <w:t>时，</w:t>
      </w:r>
      <w:r>
        <w:rPr>
          <w:rFonts w:ascii="宋体" w:hAnsi="宋体" w:cs="宋体"/>
        </w:rPr>
        <w:t>API</w:t>
      </w:r>
      <w:r>
        <w:rPr>
          <w:rFonts w:hint="eastAsia" w:ascii="宋体" w:hAnsi="宋体" w:cs="宋体"/>
        </w:rPr>
        <w:t>接口服务会返回{</w:t>
      </w:r>
      <w:r>
        <w:t xml:space="preserve"> </w:t>
      </w:r>
      <w:r>
        <w:rPr>
          <w:rFonts w:ascii="宋体" w:hAnsi="宋体" w:cs="宋体"/>
        </w:rPr>
        <w:t>errcode</w:t>
      </w:r>
      <w:r>
        <w:rPr>
          <w:rFonts w:hint="eastAsia" w:ascii="宋体" w:hAnsi="宋体" w:cs="宋体"/>
        </w:rPr>
        <w:t>:xxx,,message:xxx}结构的json数据。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cs="宋体"/>
        </w:rPr>
      </w:pPr>
      <w:r>
        <w:rPr>
          <w:rFonts w:hint="eastAsia" w:ascii="宋体" w:hAnsi="宋体" w:cs="宋体"/>
        </w:rPr>
        <w:t>Code字段为状态码，message为异常信息。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cs="宋体"/>
        </w:rPr>
      </w:pPr>
      <w:r>
        <w:rPr>
          <w:rFonts w:hint="eastAsia" w:ascii="宋体" w:hAnsi="宋体" w:cs="宋体"/>
        </w:rPr>
        <w:t>常见</w:t>
      </w:r>
      <w:r>
        <w:rPr>
          <w:rFonts w:hint="eastAsia" w:ascii="宋体" w:hAnsi="宋体" w:eastAsia="宋体" w:cs="宋体"/>
          <w:b w:val="0"/>
          <w:bCs w:val="0"/>
          <w:sz w:val="21"/>
          <w:szCs w:val="21"/>
          <w:lang w:val="en-US" w:eastAsia="zh-CN"/>
        </w:rPr>
        <w:t>异常</w:t>
      </w:r>
      <w:r>
        <w:rPr>
          <w:rFonts w:hint="eastAsia" w:ascii="宋体" w:hAnsi="宋体" w:cs="宋体"/>
        </w:rPr>
        <w:t>响应有：</w:t>
      </w:r>
    </w:p>
    <w:tbl>
      <w:tblPr>
        <w:tblStyle w:val="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35" w:type="dxa"/>
            <w:shd w:val="clear" w:color="auto" w:fill="9ED3A3" w:themeFill="background1" w:themeFillShade="D8"/>
          </w:tcPr>
          <w:p>
            <w:pPr>
              <w:widowControl w:val="0"/>
              <w:spacing w:line="360" w:lineRule="auto"/>
              <w:jc w:val="center"/>
              <w:rPr>
                <w:rFonts w:ascii="宋体" w:hAnsi="宋体" w:eastAsia="Times New Roman" w:cs="宋体"/>
                <w:color w:val="000000"/>
                <w:sz w:val="18"/>
                <w:szCs w:val="18"/>
              </w:rPr>
            </w:pPr>
            <w:r>
              <w:rPr>
                <w:rFonts w:hint="eastAsia" w:ascii="宋体" w:hAnsi="宋体" w:eastAsia="Times New Roman" w:cs="宋体"/>
                <w:color w:val="000000"/>
                <w:sz w:val="18"/>
                <w:szCs w:val="18"/>
              </w:rPr>
              <w:t>响应结果</w:t>
            </w:r>
          </w:p>
        </w:tc>
        <w:tc>
          <w:tcPr>
            <w:tcW w:w="3685" w:type="dxa"/>
            <w:shd w:val="clear" w:color="auto" w:fill="9ED3A3" w:themeFill="background1" w:themeFillShade="D8"/>
          </w:tcPr>
          <w:p>
            <w:pPr>
              <w:widowControl w:val="0"/>
              <w:spacing w:line="360" w:lineRule="auto"/>
              <w:jc w:val="center"/>
              <w:rPr>
                <w:rFonts w:ascii="宋体" w:hAnsi="宋体" w:eastAsia="Times New Roman" w:cs="宋体"/>
                <w:color w:val="000000"/>
                <w:sz w:val="18"/>
                <w:szCs w:val="18"/>
              </w:rPr>
            </w:pPr>
            <w:r>
              <w:rPr>
                <w:rFonts w:hint="eastAsia" w:ascii="宋体" w:hAnsi="宋体" w:eastAsia="Times New Roman" w:cs="宋体"/>
                <w:color w:val="000000"/>
                <w:sz w:val="18"/>
                <w:szCs w:val="18"/>
              </w:rPr>
              <w:t>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35" w:type="dxa"/>
          </w:tcPr>
          <w:p>
            <w:pPr>
              <w:widowControl w:val="0"/>
              <w:spacing w:line="360" w:lineRule="auto"/>
              <w:jc w:val="both"/>
              <w:rPr>
                <w:rFonts w:ascii="宋体" w:hAnsi="宋体" w:eastAsia="Times New Roman" w:cs="宋体"/>
                <w:color w:val="000000"/>
                <w:sz w:val="18"/>
                <w:szCs w:val="18"/>
              </w:rPr>
            </w:pPr>
            <w:r>
              <w:rPr>
                <w:rFonts w:hint="eastAsia" w:ascii="宋体" w:hAnsi="宋体" w:eastAsia="Times New Roman" w:cs="宋体"/>
                <w:color w:val="000000"/>
                <w:sz w:val="18"/>
                <w:szCs w:val="18"/>
              </w:rPr>
              <w:t>{"</w:t>
            </w:r>
            <w:r>
              <w:rPr>
                <w:rFonts w:eastAsia="Times New Roman"/>
              </w:rPr>
              <w:t xml:space="preserve"> </w:t>
            </w:r>
            <w:r>
              <w:rPr>
                <w:rFonts w:ascii="宋体" w:hAnsi="宋体" w:eastAsia="Times New Roman" w:cs="宋体"/>
                <w:color w:val="000000"/>
                <w:sz w:val="18"/>
                <w:szCs w:val="18"/>
              </w:rPr>
              <w:t>errcode</w:t>
            </w:r>
            <w:r>
              <w:rPr>
                <w:rFonts w:hint="eastAsia" w:ascii="宋体" w:hAnsi="宋体" w:eastAsia="Times New Roman" w:cs="宋体"/>
                <w:color w:val="000000"/>
                <w:sz w:val="18"/>
                <w:szCs w:val="18"/>
              </w:rPr>
              <w:t xml:space="preserve"> ":401,"message":"缺少服务</w:t>
            </w:r>
            <w:r>
              <w:rPr>
                <w:rFonts w:hint="eastAsia" w:cs="宋体" w:asciiTheme="minorEastAsia" w:hAnsiTheme="minorEastAsia" w:eastAsiaTheme="minorEastAsia"/>
                <w:color w:val="000000"/>
                <w:sz w:val="18"/>
                <w:szCs w:val="18"/>
              </w:rPr>
              <w:t>调用</w:t>
            </w:r>
            <w:r>
              <w:rPr>
                <w:rFonts w:hint="eastAsia" w:ascii="宋体" w:hAnsi="宋体" w:eastAsia="Times New Roman" w:cs="宋体"/>
                <w:color w:val="000000"/>
                <w:sz w:val="18"/>
                <w:szCs w:val="18"/>
              </w:rPr>
              <w:t>的请求头!"}</w:t>
            </w:r>
          </w:p>
        </w:tc>
        <w:tc>
          <w:tcPr>
            <w:tcW w:w="3685" w:type="dxa"/>
          </w:tcPr>
          <w:p>
            <w:pPr>
              <w:widowControl w:val="0"/>
              <w:spacing w:line="360" w:lineRule="auto"/>
              <w:jc w:val="both"/>
              <w:rPr>
                <w:rFonts w:ascii="宋体" w:hAnsi="宋体" w:eastAsia="Times New Roman" w:cs="宋体"/>
                <w:color w:val="000000"/>
                <w:sz w:val="18"/>
                <w:szCs w:val="18"/>
              </w:rPr>
            </w:pPr>
            <w:r>
              <w:rPr>
                <w:rFonts w:hint="eastAsia" w:ascii="宋体" w:hAnsi="宋体" w:eastAsia="Times New Roman" w:cs="宋体"/>
                <w:color w:val="000000"/>
                <w:sz w:val="18"/>
                <w:szCs w:val="18"/>
              </w:rPr>
              <w:t>请求中缺少服务</w:t>
            </w:r>
            <w:r>
              <w:rPr>
                <w:rFonts w:hint="eastAsia" w:cs="宋体" w:asciiTheme="minorEastAsia" w:hAnsiTheme="minorEastAsia" w:eastAsiaTheme="minorEastAsia"/>
                <w:color w:val="000000"/>
                <w:sz w:val="18"/>
                <w:szCs w:val="18"/>
              </w:rPr>
              <w:t>调用</w:t>
            </w:r>
            <w:r>
              <w:rPr>
                <w:rFonts w:hint="eastAsia" w:ascii="宋体" w:hAnsi="宋体" w:eastAsia="Times New Roman" w:cs="宋体"/>
                <w:color w:val="000000"/>
                <w:sz w:val="18"/>
                <w:szCs w:val="18"/>
              </w:rPr>
              <w:t>所需的请求头。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35" w:type="dxa"/>
          </w:tcPr>
          <w:p>
            <w:pPr>
              <w:widowControl w:val="0"/>
              <w:spacing w:line="360" w:lineRule="auto"/>
              <w:jc w:val="both"/>
              <w:rPr>
                <w:rFonts w:ascii="宋体" w:hAnsi="宋体" w:eastAsia="Times New Roman" w:cs="宋体"/>
                <w:color w:val="000000"/>
                <w:sz w:val="18"/>
                <w:szCs w:val="18"/>
              </w:rPr>
            </w:pPr>
            <w:r>
              <w:rPr>
                <w:rFonts w:hint="eastAsia" w:ascii="宋体" w:hAnsi="宋体" w:eastAsia="Times New Roman" w:cs="宋体"/>
                <w:color w:val="000000"/>
                <w:sz w:val="18"/>
                <w:szCs w:val="18"/>
              </w:rPr>
              <w:t>{"</w:t>
            </w:r>
            <w:r>
              <w:rPr>
                <w:rFonts w:eastAsia="Times New Roman"/>
              </w:rPr>
              <w:t xml:space="preserve"> </w:t>
            </w:r>
            <w:r>
              <w:rPr>
                <w:rFonts w:ascii="宋体" w:hAnsi="宋体" w:eastAsia="Times New Roman" w:cs="宋体"/>
                <w:color w:val="000000"/>
                <w:sz w:val="18"/>
                <w:szCs w:val="18"/>
              </w:rPr>
              <w:t>errcode</w:t>
            </w:r>
            <w:r>
              <w:rPr>
                <w:rFonts w:hint="eastAsia" w:ascii="宋体" w:hAnsi="宋体" w:eastAsia="Times New Roman" w:cs="宋体"/>
                <w:color w:val="000000"/>
                <w:sz w:val="18"/>
                <w:szCs w:val="18"/>
              </w:rPr>
              <w:t xml:space="preserve"> ":401,"message":"签名时间戳超时!"}</w:t>
            </w:r>
          </w:p>
        </w:tc>
        <w:tc>
          <w:tcPr>
            <w:tcW w:w="3685" w:type="dxa"/>
          </w:tcPr>
          <w:p>
            <w:pPr>
              <w:widowControl w:val="0"/>
              <w:spacing w:line="360" w:lineRule="auto"/>
              <w:jc w:val="both"/>
              <w:rPr>
                <w:rFonts w:ascii="宋体" w:hAnsi="宋体" w:eastAsia="Times New Roman" w:cs="宋体"/>
                <w:color w:val="000000"/>
                <w:sz w:val="18"/>
                <w:szCs w:val="18"/>
              </w:rPr>
            </w:pPr>
            <w:r>
              <w:rPr>
                <w:rFonts w:hint="eastAsia" w:ascii="宋体" w:hAnsi="宋体" w:eastAsia="Times New Roman" w:cs="宋体"/>
                <w:color w:val="000000"/>
                <w:sz w:val="18"/>
                <w:szCs w:val="18"/>
              </w:rPr>
              <w:t>时间戳超时，默认为30分钟。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835" w:type="dxa"/>
          </w:tcPr>
          <w:p>
            <w:pPr>
              <w:widowControl w:val="0"/>
              <w:spacing w:line="360" w:lineRule="auto"/>
              <w:jc w:val="both"/>
              <w:rPr>
                <w:rFonts w:ascii="宋体" w:hAnsi="宋体" w:eastAsia="Times New Roman" w:cs="宋体"/>
                <w:color w:val="000000"/>
                <w:sz w:val="18"/>
                <w:szCs w:val="18"/>
              </w:rPr>
            </w:pPr>
            <w:r>
              <w:rPr>
                <w:rFonts w:hint="eastAsia" w:ascii="宋体" w:hAnsi="宋体" w:eastAsia="Times New Roman" w:cs="宋体"/>
                <w:color w:val="000000"/>
                <w:sz w:val="18"/>
                <w:szCs w:val="18"/>
              </w:rPr>
              <w:t>{"</w:t>
            </w:r>
            <w:r>
              <w:rPr>
                <w:rFonts w:eastAsia="Times New Roman"/>
              </w:rPr>
              <w:t xml:space="preserve"> </w:t>
            </w:r>
            <w:r>
              <w:rPr>
                <w:rFonts w:ascii="宋体" w:hAnsi="宋体" w:eastAsia="Times New Roman" w:cs="宋体"/>
                <w:color w:val="000000"/>
                <w:sz w:val="18"/>
                <w:szCs w:val="18"/>
              </w:rPr>
              <w:t>errcode</w:t>
            </w:r>
            <w:r>
              <w:rPr>
                <w:rFonts w:hint="eastAsia" w:ascii="宋体" w:hAnsi="宋体" w:eastAsia="Times New Roman" w:cs="宋体"/>
                <w:color w:val="000000"/>
                <w:sz w:val="18"/>
                <w:szCs w:val="18"/>
              </w:rPr>
              <w:t xml:space="preserve"> ":401,"message":"非法用户!"}</w:t>
            </w:r>
          </w:p>
        </w:tc>
        <w:tc>
          <w:tcPr>
            <w:tcW w:w="3685" w:type="dxa"/>
          </w:tcPr>
          <w:p>
            <w:pPr>
              <w:widowControl w:val="0"/>
              <w:spacing w:line="360" w:lineRule="auto"/>
              <w:jc w:val="both"/>
              <w:rPr>
                <w:rFonts w:ascii="宋体" w:hAnsi="宋体" w:eastAsia="Times New Roman" w:cs="宋体"/>
                <w:color w:val="000000"/>
                <w:sz w:val="18"/>
                <w:szCs w:val="18"/>
              </w:rPr>
            </w:pPr>
            <w:r>
              <w:rPr>
                <w:rFonts w:hint="eastAsia" w:ascii="宋体" w:hAnsi="宋体" w:eastAsia="Times New Roman" w:cs="宋体"/>
                <w:color w:val="000000"/>
                <w:sz w:val="18"/>
                <w:szCs w:val="18"/>
              </w:rPr>
              <w:t>请求头中携带的AK不是合法的AK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35" w:type="dxa"/>
          </w:tcPr>
          <w:p>
            <w:pPr>
              <w:widowControl w:val="0"/>
              <w:spacing w:line="360" w:lineRule="auto"/>
              <w:jc w:val="both"/>
              <w:rPr>
                <w:rFonts w:ascii="宋体" w:hAnsi="宋体" w:eastAsia="Times New Roman" w:cs="宋体"/>
                <w:color w:val="000000"/>
                <w:sz w:val="18"/>
                <w:szCs w:val="18"/>
              </w:rPr>
            </w:pPr>
            <w:r>
              <w:rPr>
                <w:rFonts w:hint="eastAsia" w:ascii="宋体" w:hAnsi="宋体" w:eastAsia="Times New Roman" w:cs="宋体"/>
                <w:color w:val="000000"/>
                <w:sz w:val="18"/>
                <w:szCs w:val="18"/>
              </w:rPr>
              <w:t>{"</w:t>
            </w:r>
            <w:r>
              <w:rPr>
                <w:rFonts w:eastAsia="Times New Roman"/>
              </w:rPr>
              <w:t xml:space="preserve"> </w:t>
            </w:r>
            <w:r>
              <w:rPr>
                <w:rFonts w:ascii="宋体" w:hAnsi="宋体" w:eastAsia="Times New Roman" w:cs="宋体"/>
                <w:color w:val="000000"/>
                <w:sz w:val="18"/>
                <w:szCs w:val="18"/>
              </w:rPr>
              <w:t>errcode</w:t>
            </w:r>
            <w:r>
              <w:rPr>
                <w:rFonts w:hint="eastAsia" w:ascii="宋体" w:hAnsi="宋体" w:eastAsia="Times New Roman" w:cs="宋体"/>
                <w:color w:val="000000"/>
                <w:sz w:val="18"/>
                <w:szCs w:val="18"/>
              </w:rPr>
              <w:t xml:space="preserve"> ":401,"message":"签名不一致!"}</w:t>
            </w:r>
          </w:p>
        </w:tc>
        <w:tc>
          <w:tcPr>
            <w:tcW w:w="3685" w:type="dxa"/>
          </w:tcPr>
          <w:p>
            <w:pPr>
              <w:widowControl w:val="0"/>
              <w:spacing w:line="360" w:lineRule="auto"/>
              <w:jc w:val="both"/>
              <w:rPr>
                <w:rFonts w:ascii="宋体" w:hAnsi="宋体" w:eastAsia="Times New Roman" w:cs="宋体"/>
                <w:color w:val="000000"/>
                <w:sz w:val="18"/>
                <w:szCs w:val="18"/>
              </w:rPr>
            </w:pPr>
            <w:r>
              <w:rPr>
                <w:rFonts w:hint="eastAsia" w:ascii="宋体" w:hAnsi="宋体" w:eastAsia="Times New Roman" w:cs="宋体"/>
                <w:color w:val="000000"/>
                <w:sz w:val="18"/>
                <w:szCs w:val="18"/>
              </w:rPr>
              <w:t>签名不一致,请检查您的签名方式</w:t>
            </w:r>
          </w:p>
        </w:tc>
      </w:tr>
    </w:tbl>
    <w:p>
      <w:pPr>
        <w:numPr>
          <w:ilvl w:val="0"/>
          <w:numId w:val="0"/>
        </w:numPr>
        <w:spacing w:line="360" w:lineRule="auto"/>
        <w:jc w:val="both"/>
        <w:rPr>
          <w:rFonts w:hint="default" w:ascii="宋体" w:hAnsi="宋体" w:eastAsia="宋体" w:cs="宋体"/>
          <w:b/>
          <w:bCs/>
          <w:sz w:val="28"/>
          <w:szCs w:val="28"/>
          <w:lang w:val="en-US" w:eastAsia="zh-CN"/>
        </w:rPr>
      </w:pPr>
    </w:p>
    <w:p>
      <w:pPr>
        <w:numPr>
          <w:ilvl w:val="0"/>
          <w:numId w:val="0"/>
        </w:numPr>
        <w:spacing w:line="360" w:lineRule="auto"/>
        <w:jc w:val="both"/>
        <w:rPr>
          <w:rFonts w:hint="default" w:ascii="宋体" w:hAnsi="宋体" w:eastAsia="宋体" w:cs="宋体"/>
          <w:b/>
          <w:bCs/>
          <w:sz w:val="28"/>
          <w:szCs w:val="28"/>
          <w:lang w:val="en-US" w:eastAsia="zh-CN"/>
        </w:rPr>
      </w:pPr>
    </w:p>
    <w:p>
      <w:pPr>
        <w:numPr>
          <w:ilvl w:val="0"/>
          <w:numId w:val="0"/>
        </w:numPr>
        <w:spacing w:line="360" w:lineRule="auto"/>
        <w:jc w:val="both"/>
        <w:rPr>
          <w:rFonts w:hint="default" w:ascii="宋体" w:hAnsi="宋体" w:eastAsia="宋体" w:cs="宋体"/>
          <w:b/>
          <w:bCs/>
          <w:sz w:val="28"/>
          <w:szCs w:val="28"/>
          <w:lang w:val="en-US" w:eastAsia="zh-CN"/>
        </w:rPr>
      </w:pPr>
    </w:p>
    <w:p>
      <w:pPr>
        <w:numPr>
          <w:ilvl w:val="0"/>
          <w:numId w:val="0"/>
        </w:numPr>
        <w:spacing w:line="360" w:lineRule="auto"/>
        <w:jc w:val="both"/>
        <w:rPr>
          <w:rFonts w:hint="default" w:ascii="宋体" w:hAnsi="宋体" w:eastAsia="宋体" w:cs="宋体"/>
          <w:b/>
          <w:bCs/>
          <w:sz w:val="28"/>
          <w:szCs w:val="28"/>
          <w:lang w:val="en-US" w:eastAsia="zh-CN"/>
        </w:rPr>
      </w:pPr>
    </w:p>
    <w:p>
      <w:pPr>
        <w:numPr>
          <w:ilvl w:val="0"/>
          <w:numId w:val="0"/>
        </w:numPr>
        <w:spacing w:line="360" w:lineRule="auto"/>
        <w:jc w:val="both"/>
        <w:rPr>
          <w:rFonts w:hint="default" w:ascii="宋体" w:hAnsi="宋体" w:eastAsia="宋体" w:cs="宋体"/>
          <w:b/>
          <w:bCs/>
          <w:sz w:val="28"/>
          <w:szCs w:val="28"/>
          <w:lang w:val="en-US" w:eastAsia="zh-CN"/>
        </w:rPr>
      </w:pPr>
    </w:p>
    <w:p>
      <w:pPr>
        <w:numPr>
          <w:ilvl w:val="0"/>
          <w:numId w:val="1"/>
        </w:numPr>
        <w:spacing w:line="360" w:lineRule="auto"/>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两定医药机构读卡说明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两定医药机构读卡动态库以及接口文档由省项目组统一下发给地市项目组，地市项目组收到读卡动态库以及接口文档后，及时下发给两定医药机构进行读卡开发改造。下发的接口动态库包含身份证读取、社保卡读取以及扫码接口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读卡初始化地址：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测试环境：</w:t>
      </w:r>
      <w:r>
        <w:rPr>
          <w:rFonts w:hint="eastAsia" w:ascii="宋体" w:hAnsi="宋体" w:eastAsia="宋体" w:cs="宋体"/>
          <w:b w:val="0"/>
          <w:bCs w:val="0"/>
          <w:i w:val="0"/>
          <w:caps w:val="0"/>
          <w:color w:val="000000"/>
          <w:spacing w:val="0"/>
          <w:sz w:val="21"/>
          <w:szCs w:val="21"/>
          <w:shd w:val="clear" w:fill="FFFFFF"/>
        </w:rPr>
        <w:t>http://igb.hsa.gdgov.cn/gdyb_inf/poc/api/card/initDll</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正式环境：</w:t>
      </w:r>
      <w:r>
        <w:rPr>
          <w:rFonts w:hint="eastAsia" w:ascii="宋体" w:hAnsi="宋体" w:eastAsia="宋体" w:cs="宋体"/>
          <w:b w:val="0"/>
          <w:bCs w:val="0"/>
          <w:i w:val="0"/>
          <w:caps w:val="0"/>
          <w:color w:val="000000"/>
          <w:spacing w:val="0"/>
          <w:sz w:val="21"/>
          <w:szCs w:val="21"/>
          <w:shd w:val="clear" w:fill="FFFFFF"/>
        </w:rPr>
        <w:t>http://igb.hsa.gdgov.cn/gdyb_api/prd/api/card/initDll</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读卡动态库以及接口文档：</w:t>
      </w:r>
    </w:p>
    <w:p>
      <w:pPr>
        <w:numPr>
          <w:ilvl w:val="0"/>
          <w:numId w:val="0"/>
        </w:numPr>
        <w:spacing w:line="360" w:lineRule="auto"/>
        <w:ind w:leftChars="0"/>
        <w:jc w:val="both"/>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val="en-US"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26" DrawAspect="Icon" ObjectID="_1468075726" r:id="rId6">
            <o:LockedField>false</o:LockedField>
          </o:OLEObject>
        </w:object>
      </w:r>
    </w:p>
    <w:p>
      <w:pPr>
        <w:numPr>
          <w:ilvl w:val="0"/>
          <w:numId w:val="0"/>
        </w:numPr>
        <w:spacing w:line="360" w:lineRule="auto"/>
        <w:ind w:leftChars="0"/>
        <w:jc w:val="both"/>
        <w:rPr>
          <w:rFonts w:hint="eastAsia" w:ascii="宋体" w:hAnsi="宋体" w:eastAsia="宋体" w:cs="宋体"/>
          <w:b w:val="0"/>
          <w:bCs w:val="0"/>
          <w:sz w:val="21"/>
          <w:szCs w:val="21"/>
          <w:lang w:val="en-US" w:eastAsia="zh-CN"/>
        </w:rPr>
      </w:pPr>
    </w:p>
    <w:p>
      <w:pPr>
        <w:numPr>
          <w:ilvl w:val="0"/>
          <w:numId w:val="0"/>
        </w:numPr>
        <w:spacing w:line="360" w:lineRule="auto"/>
        <w:ind w:leftChars="0"/>
        <w:jc w:val="both"/>
        <w:rPr>
          <w:rFonts w:hint="eastAsia" w:ascii="宋体" w:hAnsi="宋体" w:eastAsia="宋体" w:cs="宋体"/>
          <w:b w:val="0"/>
          <w:bCs w:val="0"/>
          <w:sz w:val="21"/>
          <w:szCs w:val="21"/>
          <w:lang w:val="en-US" w:eastAsia="zh-CN"/>
        </w:rPr>
      </w:pPr>
    </w:p>
    <w:p>
      <w:pPr>
        <w:numPr>
          <w:ilvl w:val="0"/>
          <w:numId w:val="1"/>
        </w:numPr>
        <w:spacing w:line="360" w:lineRule="auto"/>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【1101】人员信息获取说明</w:t>
      </w:r>
    </w:p>
    <w:p>
      <w:pPr>
        <w:numPr>
          <w:ilvl w:val="0"/>
          <w:numId w:val="5"/>
        </w:numPr>
        <w:spacing w:line="360" w:lineRule="auto"/>
        <w:ind w:left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电子凭证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过扫描枪直接扫电子医保凭证，获取电子凭证号，通过【1101】接口，入参【mdtrt_cert_type】传值01，【mdtrt_cert_no】传值获取到的电子凭证号，即可通过接口获取到该电子凭证的参保人信息。每个电子凭证号只能被使用一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使用电子凭证办理业务，接口中的【mdtrt_cert_type】传值必须是01，【mdtrt_cert_no】传值必须是获取到的电子凭证号，不能随便填写。</w:t>
      </w:r>
    </w:p>
    <w:p>
      <w:pPr>
        <w:numPr>
          <w:ilvl w:val="0"/>
          <w:numId w:val="5"/>
        </w:numPr>
        <w:spacing w:line="360" w:lineRule="auto"/>
        <w:ind w:leftChars="0"/>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身份证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通过手工输入身份证号或通过读卡设备读取身份证获取身份证号码，通过【1101】接口，入参【mdtrt_cert_type】传值02，【mdtrt_cert_no】传值身份证号码，即可通过接口获取到该参保人信息。</w:t>
      </w:r>
    </w:p>
    <w:p>
      <w:pPr>
        <w:numPr>
          <w:ilvl w:val="0"/>
          <w:numId w:val="5"/>
        </w:numPr>
        <w:spacing w:line="360" w:lineRule="auto"/>
        <w:ind w:leftChars="0"/>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社保卡</w:t>
      </w:r>
    </w:p>
    <w:p>
      <w:pPr>
        <w:numPr>
          <w:ilvl w:val="0"/>
          <w:numId w:val="6"/>
        </w:numPr>
        <w:spacing w:line="360" w:lineRule="auto"/>
        <w:ind w:left="420" w:leftChars="0" w:hanging="420" w:firstLineChars="0"/>
        <w:jc w:val="both"/>
        <w:rPr>
          <w:rFonts w:hint="default" w:ascii="宋体" w:hAnsi="宋体" w:eastAsia="宋体" w:cs="宋体"/>
          <w:b w:val="0"/>
          <w:bCs w:val="0"/>
          <w:sz w:val="21"/>
          <w:szCs w:val="21"/>
          <w:lang w:val="en-US" w:eastAsia="zh-CN"/>
        </w:rPr>
      </w:pPr>
      <w:r>
        <w:rPr>
          <w:rFonts w:hint="eastAsia" w:ascii="宋体" w:hAnsi="宋体" w:eastAsia="宋体" w:cs="宋体"/>
          <w:b/>
          <w:bCs/>
          <w:color w:val="FF0000"/>
          <w:sz w:val="21"/>
          <w:szCs w:val="21"/>
          <w:lang w:val="en-US" w:eastAsia="zh-CN"/>
        </w:rPr>
        <w:t>本地以及省内异地读卡</w:t>
      </w:r>
      <w:r>
        <w:rPr>
          <w:rFonts w:hint="eastAsia" w:ascii="宋体" w:hAnsi="宋体" w:eastAsia="宋体" w:cs="宋体"/>
          <w:b w:val="0"/>
          <w:bCs w:val="0"/>
          <w:sz w:val="21"/>
          <w:szCs w:val="21"/>
          <w:lang w:val="en-US" w:eastAsia="zh-CN"/>
        </w:rPr>
        <w:t>：通过读卡设备获取到社保卡的身份证号码，通过【1101】接口，入参【mdtrt_cert_type】传值02，【mdtrt_cert_no】传值身份证号码，即可通过接口获取到该参保人信息。</w:t>
      </w:r>
    </w:p>
    <w:p>
      <w:pPr>
        <w:numPr>
          <w:ilvl w:val="0"/>
          <w:numId w:val="6"/>
        </w:numPr>
        <w:spacing w:line="360" w:lineRule="auto"/>
        <w:ind w:left="420" w:leftChars="0" w:hanging="42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bCs/>
          <w:color w:val="FF0000"/>
          <w:sz w:val="21"/>
          <w:szCs w:val="21"/>
          <w:lang w:val="en-US" w:eastAsia="zh-CN"/>
        </w:rPr>
        <w:t>跨省异地就医读卡</w:t>
      </w:r>
      <w:r>
        <w:rPr>
          <w:rFonts w:hint="eastAsia" w:ascii="宋体" w:hAnsi="宋体" w:eastAsia="宋体" w:cs="宋体"/>
          <w:b w:val="0"/>
          <w:bCs w:val="0"/>
          <w:sz w:val="21"/>
          <w:szCs w:val="21"/>
          <w:lang w:val="en-US" w:eastAsia="zh-CN"/>
        </w:rPr>
        <w:t>：通过读卡设备获取到社保卡的卡号、识别码以及身份证号码，通过【1101】接口，入参【mdtrt_cert_type】传值03，【mdtrt_cert_no】传值社保卡卡号，【card_sn】传值社保卡识别码，【psn_cert_type】传值1，【certno】传值身份证号码，即可通过接口获取到该参保人信息。</w:t>
      </w:r>
    </w:p>
    <w:p>
      <w:pPr>
        <w:numPr>
          <w:ilvl w:val="0"/>
          <w:numId w:val="5"/>
        </w:numPr>
        <w:spacing w:line="360" w:lineRule="auto"/>
        <w:ind w:leftChars="0"/>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港澳台及其它证件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通过【1101】接口，入参【mdtrt_cert_type】传值03，【mdtrt_cert_no】传值证件号码，【card_sn】传值证件号码，【psn_cert_type】传值99，【certno】传值证件号码，即可通过接口获取到该参保人信息。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p>
    <w:p>
      <w:pPr>
        <w:numPr>
          <w:ilvl w:val="0"/>
          <w:numId w:val="1"/>
        </w:numPr>
        <w:spacing w:line="360" w:lineRule="auto"/>
        <w:jc w:val="both"/>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使用电子凭证做医保结算指引：</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22" w:firstLineChars="200"/>
        <w:jc w:val="both"/>
        <w:textAlignment w:val="auto"/>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药店</w:t>
      </w:r>
      <w:r>
        <w:rPr>
          <w:rFonts w:hint="eastAsia" w:ascii="宋体" w:hAnsi="宋体" w:eastAsia="宋体" w:cs="宋体"/>
          <w:b/>
          <w:bCs/>
          <w:sz w:val="21"/>
          <w:szCs w:val="21"/>
          <w:lang w:val="en-US" w:eastAsia="zh-CN"/>
        </w:rPr>
        <w:t>购药</w:t>
      </w:r>
      <w:r>
        <w:rPr>
          <w:rFonts w:hint="default" w:ascii="宋体" w:hAnsi="宋体" w:eastAsia="宋体" w:cs="宋体"/>
          <w:b/>
          <w:bCs/>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w:t>
      </w:r>
      <w:r>
        <w:rPr>
          <w:rFonts w:hint="default" w:ascii="宋体" w:hAnsi="宋体" w:eastAsia="宋体" w:cs="宋体"/>
          <w:b w:val="0"/>
          <w:bCs w:val="0"/>
          <w:sz w:val="21"/>
          <w:szCs w:val="21"/>
          <w:lang w:val="en-US" w:eastAsia="zh-CN"/>
        </w:rPr>
        <w:t>首先使用电子凭证码</w:t>
      </w:r>
      <w:r>
        <w:rPr>
          <w:rFonts w:hint="eastAsia" w:ascii="宋体" w:hAnsi="宋体" w:eastAsia="宋体" w:cs="宋体"/>
          <w:b w:val="0"/>
          <w:bCs w:val="0"/>
          <w:sz w:val="21"/>
          <w:szCs w:val="21"/>
          <w:lang w:val="en-US" w:eastAsia="zh-CN"/>
        </w:rPr>
        <w:t>通过</w:t>
      </w:r>
      <w:r>
        <w:rPr>
          <w:rFonts w:hint="default" w:ascii="宋体" w:hAnsi="宋体" w:eastAsia="宋体" w:cs="宋体"/>
          <w:b w:val="0"/>
          <w:bCs w:val="0"/>
          <w:sz w:val="21"/>
          <w:szCs w:val="21"/>
          <w:lang w:val="en-US" w:eastAsia="zh-CN"/>
        </w:rPr>
        <w:t>1101</w:t>
      </w:r>
      <w:r>
        <w:rPr>
          <w:rFonts w:hint="eastAsia" w:ascii="宋体" w:hAnsi="宋体" w:eastAsia="宋体" w:cs="宋体"/>
          <w:b w:val="0"/>
          <w:bCs w:val="0"/>
          <w:sz w:val="21"/>
          <w:szCs w:val="21"/>
          <w:lang w:val="en-US" w:eastAsia="zh-CN"/>
        </w:rPr>
        <w:t>获取</w:t>
      </w:r>
      <w:r>
        <w:rPr>
          <w:rFonts w:hint="default" w:ascii="宋体" w:hAnsi="宋体" w:eastAsia="宋体" w:cs="宋体"/>
          <w:b w:val="0"/>
          <w:bCs w:val="0"/>
          <w:sz w:val="21"/>
          <w:szCs w:val="21"/>
          <w:lang w:val="en-US" w:eastAsia="zh-CN"/>
        </w:rPr>
        <w:t>人员</w:t>
      </w:r>
      <w:r>
        <w:rPr>
          <w:rFonts w:hint="eastAsia" w:ascii="宋体" w:hAnsi="宋体" w:eastAsia="宋体" w:cs="宋体"/>
          <w:b w:val="0"/>
          <w:bCs w:val="0"/>
          <w:sz w:val="21"/>
          <w:szCs w:val="21"/>
          <w:lang w:val="en-US" w:eastAsia="zh-CN"/>
        </w:rPr>
        <w:t>基本</w:t>
      </w:r>
      <w:r>
        <w:rPr>
          <w:rFonts w:hint="default" w:ascii="宋体" w:hAnsi="宋体" w:eastAsia="宋体" w:cs="宋体"/>
          <w:b w:val="0"/>
          <w:bCs w:val="0"/>
          <w:sz w:val="21"/>
          <w:szCs w:val="21"/>
          <w:lang w:val="en-US" w:eastAsia="zh-CN"/>
        </w:rPr>
        <w:t>信息，</w:t>
      </w:r>
      <w:r>
        <w:rPr>
          <w:rFonts w:hint="eastAsia" w:ascii="宋体" w:hAnsi="宋体" w:eastAsia="宋体" w:cs="宋体"/>
          <w:b w:val="0"/>
          <w:bCs w:val="0"/>
          <w:sz w:val="21"/>
          <w:szCs w:val="21"/>
          <w:lang w:val="en-US" w:eastAsia="zh-CN"/>
        </w:rPr>
        <w:t>获取人员基本信息后调用【2102】</w:t>
      </w:r>
      <w:r>
        <w:rPr>
          <w:rFonts w:hint="default" w:ascii="宋体" w:hAnsi="宋体" w:eastAsia="宋体" w:cs="宋体"/>
          <w:b w:val="0"/>
          <w:bCs w:val="0"/>
          <w:sz w:val="21"/>
          <w:szCs w:val="21"/>
          <w:lang w:val="en-US" w:eastAsia="zh-CN"/>
        </w:rPr>
        <w:t>药店结算</w:t>
      </w:r>
      <w:r>
        <w:rPr>
          <w:rFonts w:hint="eastAsia" w:ascii="宋体" w:hAnsi="宋体" w:eastAsia="宋体" w:cs="宋体"/>
          <w:b w:val="0"/>
          <w:bCs w:val="0"/>
          <w:sz w:val="21"/>
          <w:szCs w:val="21"/>
          <w:lang w:val="en-US" w:eastAsia="zh-CN"/>
        </w:rPr>
        <w:t>接口</w:t>
      </w:r>
      <w:r>
        <w:rPr>
          <w:rFonts w:hint="default" w:ascii="宋体" w:hAnsi="宋体" w:eastAsia="宋体" w:cs="宋体"/>
          <w:b w:val="0"/>
          <w:bCs w:val="0"/>
          <w:sz w:val="21"/>
          <w:szCs w:val="21"/>
          <w:lang w:val="en-US" w:eastAsia="zh-CN"/>
        </w:rPr>
        <w:t>，</w:t>
      </w:r>
      <w:r>
        <w:rPr>
          <w:rFonts w:hint="eastAsia" w:ascii="宋体" w:hAnsi="宋体" w:eastAsia="宋体" w:cs="宋体"/>
          <w:b w:val="0"/>
          <w:bCs w:val="0"/>
          <w:sz w:val="21"/>
          <w:szCs w:val="21"/>
          <w:lang w:val="en-US" w:eastAsia="zh-CN"/>
        </w:rPr>
        <w:t>接口入参“</w:t>
      </w:r>
      <w:r>
        <w:rPr>
          <w:rFonts w:hint="default" w:ascii="宋体" w:hAnsi="宋体" w:eastAsia="宋体" w:cs="宋体"/>
          <w:b w:val="0"/>
          <w:bCs w:val="0"/>
          <w:sz w:val="21"/>
          <w:szCs w:val="21"/>
          <w:lang w:val="en-US" w:eastAsia="zh-CN"/>
        </w:rPr>
        <w:t>mdtrt_cert_no“传入电子凭证码，“mdtrt_cert_type”值传入</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01</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22" w:firstLineChars="200"/>
        <w:jc w:val="both"/>
        <w:textAlignment w:val="auto"/>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门诊</w:t>
      </w:r>
      <w:r>
        <w:rPr>
          <w:rFonts w:hint="eastAsia" w:ascii="宋体" w:hAnsi="宋体" w:eastAsia="宋体" w:cs="宋体"/>
          <w:b/>
          <w:bCs/>
          <w:sz w:val="21"/>
          <w:szCs w:val="21"/>
          <w:lang w:val="en-US" w:eastAsia="zh-CN"/>
        </w:rPr>
        <w:t>结算</w:t>
      </w:r>
      <w:r>
        <w:rPr>
          <w:rFonts w:hint="default" w:ascii="宋体" w:hAnsi="宋体" w:eastAsia="宋体" w:cs="宋体"/>
          <w:b/>
          <w:bCs/>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2.1</w:t>
      </w:r>
      <w:r>
        <w:rPr>
          <w:rFonts w:hint="default" w:ascii="宋体" w:hAnsi="宋体" w:eastAsia="宋体" w:cs="宋体"/>
          <w:b w:val="0"/>
          <w:bCs w:val="0"/>
          <w:sz w:val="21"/>
          <w:szCs w:val="21"/>
          <w:lang w:val="en-US" w:eastAsia="zh-CN"/>
        </w:rPr>
        <w:t>首先使用电子凭证码</w:t>
      </w:r>
      <w:r>
        <w:rPr>
          <w:rFonts w:hint="eastAsia" w:ascii="宋体" w:hAnsi="宋体" w:eastAsia="宋体" w:cs="宋体"/>
          <w:b w:val="0"/>
          <w:bCs w:val="0"/>
          <w:sz w:val="21"/>
          <w:szCs w:val="21"/>
          <w:lang w:val="en-US" w:eastAsia="zh-CN"/>
        </w:rPr>
        <w:t>通过</w:t>
      </w:r>
      <w:r>
        <w:rPr>
          <w:rFonts w:hint="default" w:ascii="宋体" w:hAnsi="宋体" w:eastAsia="宋体" w:cs="宋体"/>
          <w:b w:val="0"/>
          <w:bCs w:val="0"/>
          <w:sz w:val="21"/>
          <w:szCs w:val="21"/>
          <w:lang w:val="en-US" w:eastAsia="zh-CN"/>
        </w:rPr>
        <w:t>1101</w:t>
      </w:r>
      <w:r>
        <w:rPr>
          <w:rFonts w:hint="eastAsia" w:ascii="宋体" w:hAnsi="宋体" w:eastAsia="宋体" w:cs="宋体"/>
          <w:b w:val="0"/>
          <w:bCs w:val="0"/>
          <w:sz w:val="21"/>
          <w:szCs w:val="21"/>
          <w:lang w:val="en-US" w:eastAsia="zh-CN"/>
        </w:rPr>
        <w:t>获取</w:t>
      </w:r>
      <w:r>
        <w:rPr>
          <w:rFonts w:hint="default" w:ascii="宋体" w:hAnsi="宋体" w:eastAsia="宋体" w:cs="宋体"/>
          <w:b w:val="0"/>
          <w:bCs w:val="0"/>
          <w:sz w:val="21"/>
          <w:szCs w:val="21"/>
          <w:lang w:val="en-US" w:eastAsia="zh-CN"/>
        </w:rPr>
        <w:t>人员</w:t>
      </w:r>
      <w:r>
        <w:rPr>
          <w:rFonts w:hint="eastAsia" w:ascii="宋体" w:hAnsi="宋体" w:eastAsia="宋体" w:cs="宋体"/>
          <w:b w:val="0"/>
          <w:bCs w:val="0"/>
          <w:sz w:val="21"/>
          <w:szCs w:val="21"/>
          <w:lang w:val="en-US" w:eastAsia="zh-CN"/>
        </w:rPr>
        <w:t>基本</w:t>
      </w:r>
      <w:r>
        <w:rPr>
          <w:rFonts w:hint="default" w:ascii="宋体" w:hAnsi="宋体" w:eastAsia="宋体" w:cs="宋体"/>
          <w:b w:val="0"/>
          <w:bCs w:val="0"/>
          <w:sz w:val="21"/>
          <w:szCs w:val="21"/>
          <w:lang w:val="en-US" w:eastAsia="zh-CN"/>
        </w:rPr>
        <w:t>信息，</w:t>
      </w:r>
      <w:r>
        <w:rPr>
          <w:rFonts w:hint="eastAsia" w:ascii="宋体" w:hAnsi="宋体" w:eastAsia="宋体" w:cs="宋体"/>
          <w:b w:val="0"/>
          <w:bCs w:val="0"/>
          <w:sz w:val="21"/>
          <w:szCs w:val="21"/>
          <w:lang w:val="en-US" w:eastAsia="zh-CN"/>
        </w:rPr>
        <w:t>获取人员基本信息后调用【</w:t>
      </w:r>
      <w:r>
        <w:rPr>
          <w:rFonts w:hint="eastAsia"/>
        </w:rPr>
        <w:t>2</w:t>
      </w:r>
      <w:r>
        <w:t>201</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门诊挂号</w:t>
      </w:r>
      <w:r>
        <w:rPr>
          <w:rFonts w:hint="eastAsia" w:ascii="宋体" w:hAnsi="宋体" w:eastAsia="宋体" w:cs="宋体"/>
          <w:b w:val="0"/>
          <w:bCs w:val="0"/>
          <w:sz w:val="21"/>
          <w:szCs w:val="21"/>
          <w:lang w:val="en-US" w:eastAsia="zh-CN"/>
        </w:rPr>
        <w:t>接口</w:t>
      </w:r>
      <w:r>
        <w:rPr>
          <w:rFonts w:hint="default" w:ascii="宋体" w:hAnsi="宋体" w:eastAsia="宋体" w:cs="宋体"/>
          <w:b w:val="0"/>
          <w:bCs w:val="0"/>
          <w:sz w:val="21"/>
          <w:szCs w:val="21"/>
          <w:lang w:val="en-US" w:eastAsia="zh-CN"/>
        </w:rPr>
        <w:t>，</w:t>
      </w:r>
      <w:r>
        <w:rPr>
          <w:rFonts w:hint="eastAsia" w:ascii="宋体" w:hAnsi="宋体" w:eastAsia="宋体" w:cs="宋体"/>
          <w:b w:val="0"/>
          <w:bCs w:val="0"/>
          <w:sz w:val="21"/>
          <w:szCs w:val="21"/>
          <w:lang w:val="en-US" w:eastAsia="zh-CN"/>
        </w:rPr>
        <w:t>接口入参“</w:t>
      </w:r>
      <w:r>
        <w:rPr>
          <w:rFonts w:hint="default" w:ascii="宋体" w:hAnsi="宋体" w:eastAsia="宋体" w:cs="宋体"/>
          <w:b w:val="0"/>
          <w:bCs w:val="0"/>
          <w:sz w:val="21"/>
          <w:szCs w:val="21"/>
          <w:lang w:val="en-US" w:eastAsia="zh-CN"/>
        </w:rPr>
        <w:t>mdtrt_cert_no</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传入电子凭证码，“mdtrt_cert_type”值传入</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01</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2.2</w:t>
      </w:r>
      <w:r>
        <w:rPr>
          <w:rFonts w:hint="default" w:ascii="宋体" w:hAnsi="宋体" w:eastAsia="宋体" w:cs="宋体"/>
          <w:b w:val="0"/>
          <w:bCs w:val="0"/>
          <w:sz w:val="21"/>
          <w:szCs w:val="21"/>
          <w:lang w:val="en-US" w:eastAsia="zh-CN"/>
        </w:rPr>
        <w:t>门诊结算时需要</w:t>
      </w:r>
      <w:r>
        <w:rPr>
          <w:rFonts w:hint="default" w:ascii="宋体" w:hAnsi="宋体" w:eastAsia="宋体" w:cs="宋体"/>
          <w:b w:val="0"/>
          <w:bCs w:val="0"/>
          <w:color w:val="FF0000"/>
          <w:sz w:val="21"/>
          <w:szCs w:val="21"/>
          <w:lang w:val="en-US" w:eastAsia="zh-CN"/>
        </w:rPr>
        <w:t>重新获取</w:t>
      </w:r>
      <w:r>
        <w:rPr>
          <w:rFonts w:hint="default" w:ascii="宋体" w:hAnsi="宋体" w:eastAsia="宋体" w:cs="宋体"/>
          <w:b w:val="0"/>
          <w:bCs w:val="0"/>
          <w:sz w:val="21"/>
          <w:szCs w:val="21"/>
          <w:lang w:val="en-US" w:eastAsia="zh-CN"/>
        </w:rPr>
        <w:t>一个新的电子凭证码，使用电子凭证码</w:t>
      </w:r>
      <w:r>
        <w:rPr>
          <w:rFonts w:hint="eastAsia" w:ascii="宋体" w:hAnsi="宋体" w:eastAsia="宋体" w:cs="宋体"/>
          <w:b w:val="0"/>
          <w:bCs w:val="0"/>
          <w:sz w:val="21"/>
          <w:szCs w:val="21"/>
          <w:lang w:val="en-US" w:eastAsia="zh-CN"/>
        </w:rPr>
        <w:t>通过</w:t>
      </w:r>
      <w:r>
        <w:rPr>
          <w:rFonts w:hint="default" w:ascii="宋体" w:hAnsi="宋体" w:eastAsia="宋体" w:cs="宋体"/>
          <w:b w:val="0"/>
          <w:bCs w:val="0"/>
          <w:sz w:val="21"/>
          <w:szCs w:val="21"/>
          <w:lang w:val="en-US" w:eastAsia="zh-CN"/>
        </w:rPr>
        <w:t>1101</w:t>
      </w:r>
      <w:r>
        <w:rPr>
          <w:rFonts w:hint="eastAsia" w:ascii="宋体" w:hAnsi="宋体" w:eastAsia="宋体" w:cs="宋体"/>
          <w:b w:val="0"/>
          <w:bCs w:val="0"/>
          <w:sz w:val="21"/>
          <w:szCs w:val="21"/>
          <w:lang w:val="en-US" w:eastAsia="zh-CN"/>
        </w:rPr>
        <w:t>获取</w:t>
      </w:r>
      <w:r>
        <w:rPr>
          <w:rFonts w:hint="default" w:ascii="宋体" w:hAnsi="宋体" w:eastAsia="宋体" w:cs="宋体"/>
          <w:b w:val="0"/>
          <w:bCs w:val="0"/>
          <w:sz w:val="21"/>
          <w:szCs w:val="21"/>
          <w:lang w:val="en-US" w:eastAsia="zh-CN"/>
        </w:rPr>
        <w:t>人员</w:t>
      </w:r>
      <w:r>
        <w:rPr>
          <w:rFonts w:hint="eastAsia" w:ascii="宋体" w:hAnsi="宋体" w:eastAsia="宋体" w:cs="宋体"/>
          <w:b w:val="0"/>
          <w:bCs w:val="0"/>
          <w:sz w:val="21"/>
          <w:szCs w:val="21"/>
          <w:lang w:val="en-US" w:eastAsia="zh-CN"/>
        </w:rPr>
        <w:t>基本</w:t>
      </w:r>
      <w:r>
        <w:rPr>
          <w:rFonts w:hint="default" w:ascii="宋体" w:hAnsi="宋体" w:eastAsia="宋体" w:cs="宋体"/>
          <w:b w:val="0"/>
          <w:bCs w:val="0"/>
          <w:sz w:val="21"/>
          <w:szCs w:val="21"/>
          <w:lang w:val="en-US" w:eastAsia="zh-CN"/>
        </w:rPr>
        <w:t>信息，</w:t>
      </w:r>
      <w:r>
        <w:rPr>
          <w:rFonts w:hint="eastAsia" w:ascii="宋体" w:hAnsi="宋体" w:eastAsia="宋体" w:cs="宋体"/>
          <w:b w:val="0"/>
          <w:bCs w:val="0"/>
          <w:sz w:val="21"/>
          <w:szCs w:val="21"/>
          <w:lang w:val="en-US" w:eastAsia="zh-CN"/>
        </w:rPr>
        <w:t>获取人员基本信息后调用【</w:t>
      </w:r>
      <w:r>
        <w:t>2207</w:t>
      </w:r>
      <w:r>
        <w:rPr>
          <w:rFonts w:hint="eastAsia" w:ascii="宋体" w:hAnsi="宋体" w:eastAsia="宋体" w:cs="宋体"/>
          <w:b w:val="0"/>
          <w:bCs w:val="0"/>
          <w:sz w:val="21"/>
          <w:szCs w:val="21"/>
          <w:lang w:val="en-US" w:eastAsia="zh-CN"/>
        </w:rPr>
        <w:t>】门诊结算，接口入参“</w:t>
      </w:r>
      <w:r>
        <w:rPr>
          <w:rFonts w:hint="default" w:ascii="宋体" w:hAnsi="宋体" w:eastAsia="宋体" w:cs="宋体"/>
          <w:b w:val="0"/>
          <w:bCs w:val="0"/>
          <w:sz w:val="21"/>
          <w:szCs w:val="21"/>
          <w:lang w:val="en-US" w:eastAsia="zh-CN"/>
        </w:rPr>
        <w:t>mdtrt_cert_no</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传入电子凭证码，“mdtrt_cert_type”值传入</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01</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22" w:firstLineChars="200"/>
        <w:jc w:val="both"/>
        <w:textAlignment w:val="auto"/>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t>住院</w:t>
      </w:r>
      <w:r>
        <w:rPr>
          <w:rFonts w:hint="eastAsia" w:ascii="宋体" w:hAnsi="宋体" w:eastAsia="宋体" w:cs="宋体"/>
          <w:b/>
          <w:bCs/>
          <w:sz w:val="21"/>
          <w:szCs w:val="21"/>
          <w:lang w:val="en-US" w:eastAsia="zh-CN"/>
        </w:rPr>
        <w:t>结算</w:t>
      </w:r>
      <w:r>
        <w:rPr>
          <w:rFonts w:hint="default" w:ascii="宋体" w:hAnsi="宋体" w:eastAsia="宋体" w:cs="宋体"/>
          <w:b/>
          <w:bCs/>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3.1</w:t>
      </w:r>
      <w:r>
        <w:rPr>
          <w:rFonts w:hint="default" w:ascii="宋体" w:hAnsi="宋体" w:eastAsia="宋体" w:cs="宋体"/>
          <w:b w:val="0"/>
          <w:bCs w:val="0"/>
          <w:sz w:val="21"/>
          <w:szCs w:val="21"/>
          <w:lang w:val="en-US" w:eastAsia="zh-CN"/>
        </w:rPr>
        <w:t>首先使用电子凭证码</w:t>
      </w:r>
      <w:r>
        <w:rPr>
          <w:rFonts w:hint="eastAsia" w:ascii="宋体" w:hAnsi="宋体" w:eastAsia="宋体" w:cs="宋体"/>
          <w:b w:val="0"/>
          <w:bCs w:val="0"/>
          <w:sz w:val="21"/>
          <w:szCs w:val="21"/>
          <w:lang w:val="en-US" w:eastAsia="zh-CN"/>
        </w:rPr>
        <w:t>通过</w:t>
      </w:r>
      <w:r>
        <w:rPr>
          <w:rFonts w:hint="default" w:ascii="宋体" w:hAnsi="宋体" w:eastAsia="宋体" w:cs="宋体"/>
          <w:b w:val="0"/>
          <w:bCs w:val="0"/>
          <w:sz w:val="21"/>
          <w:szCs w:val="21"/>
          <w:lang w:val="en-US" w:eastAsia="zh-CN"/>
        </w:rPr>
        <w:t>1101</w:t>
      </w:r>
      <w:r>
        <w:rPr>
          <w:rFonts w:hint="eastAsia" w:ascii="宋体" w:hAnsi="宋体" w:eastAsia="宋体" w:cs="宋体"/>
          <w:b w:val="0"/>
          <w:bCs w:val="0"/>
          <w:sz w:val="21"/>
          <w:szCs w:val="21"/>
          <w:lang w:val="en-US" w:eastAsia="zh-CN"/>
        </w:rPr>
        <w:t>获取</w:t>
      </w:r>
      <w:r>
        <w:rPr>
          <w:rFonts w:hint="default" w:ascii="宋体" w:hAnsi="宋体" w:eastAsia="宋体" w:cs="宋体"/>
          <w:b w:val="0"/>
          <w:bCs w:val="0"/>
          <w:sz w:val="21"/>
          <w:szCs w:val="21"/>
          <w:lang w:val="en-US" w:eastAsia="zh-CN"/>
        </w:rPr>
        <w:t>人员</w:t>
      </w:r>
      <w:r>
        <w:rPr>
          <w:rFonts w:hint="eastAsia" w:ascii="宋体" w:hAnsi="宋体" w:eastAsia="宋体" w:cs="宋体"/>
          <w:b w:val="0"/>
          <w:bCs w:val="0"/>
          <w:sz w:val="21"/>
          <w:szCs w:val="21"/>
          <w:lang w:val="en-US" w:eastAsia="zh-CN"/>
        </w:rPr>
        <w:t>基本</w:t>
      </w:r>
      <w:r>
        <w:rPr>
          <w:rFonts w:hint="default" w:ascii="宋体" w:hAnsi="宋体" w:eastAsia="宋体" w:cs="宋体"/>
          <w:b w:val="0"/>
          <w:bCs w:val="0"/>
          <w:sz w:val="21"/>
          <w:szCs w:val="21"/>
          <w:lang w:val="en-US" w:eastAsia="zh-CN"/>
        </w:rPr>
        <w:t>信息，</w:t>
      </w:r>
      <w:r>
        <w:rPr>
          <w:rFonts w:hint="eastAsia" w:ascii="宋体" w:hAnsi="宋体" w:eastAsia="宋体" w:cs="宋体"/>
          <w:b w:val="0"/>
          <w:bCs w:val="0"/>
          <w:sz w:val="21"/>
          <w:szCs w:val="21"/>
          <w:lang w:val="en-US" w:eastAsia="zh-CN"/>
        </w:rPr>
        <w:t>获取人员基本信息后调用【</w:t>
      </w:r>
      <w:r>
        <w:rPr>
          <w:rFonts w:hint="eastAsia"/>
        </w:rPr>
        <w:t>24</w:t>
      </w:r>
      <w:r>
        <w:t>01</w:t>
      </w:r>
      <w:r>
        <w:rPr>
          <w:rFonts w:hint="eastAsia" w:ascii="宋体" w:hAnsi="宋体" w:eastAsia="宋体" w:cs="宋体"/>
          <w:b w:val="0"/>
          <w:bCs w:val="0"/>
          <w:sz w:val="21"/>
          <w:szCs w:val="21"/>
          <w:lang w:val="en-US" w:eastAsia="zh-CN"/>
        </w:rPr>
        <w:t>】入院办理接口</w:t>
      </w:r>
      <w:r>
        <w:rPr>
          <w:rFonts w:hint="default" w:ascii="宋体" w:hAnsi="宋体" w:eastAsia="宋体" w:cs="宋体"/>
          <w:b w:val="0"/>
          <w:bCs w:val="0"/>
          <w:sz w:val="21"/>
          <w:szCs w:val="21"/>
          <w:lang w:val="en-US" w:eastAsia="zh-CN"/>
        </w:rPr>
        <w:t>，</w:t>
      </w:r>
      <w:r>
        <w:rPr>
          <w:rFonts w:hint="eastAsia" w:ascii="宋体" w:hAnsi="宋体" w:eastAsia="宋体" w:cs="宋体"/>
          <w:b w:val="0"/>
          <w:bCs w:val="0"/>
          <w:sz w:val="21"/>
          <w:szCs w:val="21"/>
          <w:lang w:val="en-US" w:eastAsia="zh-CN"/>
        </w:rPr>
        <w:t>接口入参“</w:t>
      </w:r>
      <w:r>
        <w:rPr>
          <w:rFonts w:hint="default" w:ascii="宋体" w:hAnsi="宋体" w:eastAsia="宋体" w:cs="宋体"/>
          <w:b w:val="0"/>
          <w:bCs w:val="0"/>
          <w:sz w:val="21"/>
          <w:szCs w:val="21"/>
          <w:lang w:val="en-US" w:eastAsia="zh-CN"/>
        </w:rPr>
        <w:t>mdtrt_cert_no</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传入电子凭证码，“mdtrt_cert_type”值传入</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01</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3.2住院</w:t>
      </w:r>
      <w:r>
        <w:rPr>
          <w:rFonts w:hint="default" w:ascii="宋体" w:hAnsi="宋体" w:eastAsia="宋体" w:cs="宋体"/>
          <w:b w:val="0"/>
          <w:bCs w:val="0"/>
          <w:sz w:val="21"/>
          <w:szCs w:val="21"/>
          <w:lang w:val="en-US" w:eastAsia="zh-CN"/>
        </w:rPr>
        <w:t>结算时需要</w:t>
      </w:r>
      <w:r>
        <w:rPr>
          <w:rFonts w:hint="default" w:ascii="宋体" w:hAnsi="宋体" w:eastAsia="宋体" w:cs="宋体"/>
          <w:b w:val="0"/>
          <w:bCs w:val="0"/>
          <w:color w:val="FF0000"/>
          <w:sz w:val="21"/>
          <w:szCs w:val="21"/>
          <w:lang w:val="en-US" w:eastAsia="zh-CN"/>
        </w:rPr>
        <w:t>重新获取</w:t>
      </w:r>
      <w:r>
        <w:rPr>
          <w:rFonts w:hint="default" w:ascii="宋体" w:hAnsi="宋体" w:eastAsia="宋体" w:cs="宋体"/>
          <w:b w:val="0"/>
          <w:bCs w:val="0"/>
          <w:sz w:val="21"/>
          <w:szCs w:val="21"/>
          <w:lang w:val="en-US" w:eastAsia="zh-CN"/>
        </w:rPr>
        <w:t>一个新的电子凭证码，使用电子凭证码</w:t>
      </w:r>
      <w:r>
        <w:rPr>
          <w:rFonts w:hint="eastAsia" w:ascii="宋体" w:hAnsi="宋体" w:eastAsia="宋体" w:cs="宋体"/>
          <w:b w:val="0"/>
          <w:bCs w:val="0"/>
          <w:sz w:val="21"/>
          <w:szCs w:val="21"/>
          <w:lang w:val="en-US" w:eastAsia="zh-CN"/>
        </w:rPr>
        <w:t>通过</w:t>
      </w:r>
      <w:r>
        <w:rPr>
          <w:rFonts w:hint="default" w:ascii="宋体" w:hAnsi="宋体" w:eastAsia="宋体" w:cs="宋体"/>
          <w:b w:val="0"/>
          <w:bCs w:val="0"/>
          <w:sz w:val="21"/>
          <w:szCs w:val="21"/>
          <w:lang w:val="en-US" w:eastAsia="zh-CN"/>
        </w:rPr>
        <w:t>1101</w:t>
      </w:r>
      <w:r>
        <w:rPr>
          <w:rFonts w:hint="eastAsia" w:ascii="宋体" w:hAnsi="宋体" w:eastAsia="宋体" w:cs="宋体"/>
          <w:b w:val="0"/>
          <w:bCs w:val="0"/>
          <w:sz w:val="21"/>
          <w:szCs w:val="21"/>
          <w:lang w:val="en-US" w:eastAsia="zh-CN"/>
        </w:rPr>
        <w:t>获取</w:t>
      </w:r>
      <w:r>
        <w:rPr>
          <w:rFonts w:hint="default" w:ascii="宋体" w:hAnsi="宋体" w:eastAsia="宋体" w:cs="宋体"/>
          <w:b w:val="0"/>
          <w:bCs w:val="0"/>
          <w:sz w:val="21"/>
          <w:szCs w:val="21"/>
          <w:lang w:val="en-US" w:eastAsia="zh-CN"/>
        </w:rPr>
        <w:t>人员</w:t>
      </w:r>
      <w:r>
        <w:rPr>
          <w:rFonts w:hint="eastAsia" w:ascii="宋体" w:hAnsi="宋体" w:eastAsia="宋体" w:cs="宋体"/>
          <w:b w:val="0"/>
          <w:bCs w:val="0"/>
          <w:sz w:val="21"/>
          <w:szCs w:val="21"/>
          <w:lang w:val="en-US" w:eastAsia="zh-CN"/>
        </w:rPr>
        <w:t>基本</w:t>
      </w:r>
      <w:r>
        <w:rPr>
          <w:rFonts w:hint="default" w:ascii="宋体" w:hAnsi="宋体" w:eastAsia="宋体" w:cs="宋体"/>
          <w:b w:val="0"/>
          <w:bCs w:val="0"/>
          <w:sz w:val="21"/>
          <w:szCs w:val="21"/>
          <w:lang w:val="en-US" w:eastAsia="zh-CN"/>
        </w:rPr>
        <w:t>信息，</w:t>
      </w:r>
      <w:r>
        <w:rPr>
          <w:rFonts w:hint="eastAsia" w:ascii="宋体" w:hAnsi="宋体" w:eastAsia="宋体" w:cs="宋体"/>
          <w:b w:val="0"/>
          <w:bCs w:val="0"/>
          <w:sz w:val="21"/>
          <w:szCs w:val="21"/>
          <w:lang w:val="en-US" w:eastAsia="zh-CN"/>
        </w:rPr>
        <w:t>获取人员基本信息后调用【</w:t>
      </w:r>
      <w:r>
        <w:rPr>
          <w:rFonts w:hint="eastAsia"/>
        </w:rPr>
        <w:t>230</w:t>
      </w:r>
      <w:r>
        <w:t>4</w:t>
      </w:r>
      <w:r>
        <w:rPr>
          <w:rFonts w:hint="eastAsia" w:ascii="宋体" w:hAnsi="宋体" w:eastAsia="宋体" w:cs="宋体"/>
          <w:b w:val="0"/>
          <w:bCs w:val="0"/>
          <w:sz w:val="21"/>
          <w:szCs w:val="21"/>
          <w:lang w:val="en-US" w:eastAsia="zh-CN"/>
        </w:rPr>
        <w:t>】住院结算，接口入参“</w:t>
      </w:r>
      <w:r>
        <w:rPr>
          <w:rFonts w:hint="default" w:ascii="宋体" w:hAnsi="宋体" w:eastAsia="宋体" w:cs="宋体"/>
          <w:b w:val="0"/>
          <w:bCs w:val="0"/>
          <w:sz w:val="21"/>
          <w:szCs w:val="21"/>
          <w:lang w:val="en-US" w:eastAsia="zh-CN"/>
        </w:rPr>
        <w:t>mdtrt_cert_no</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传入电子凭证码，“mdtrt_cert_type”值传入</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01</w:t>
      </w:r>
      <w:r>
        <w:rPr>
          <w:rFonts w:hint="eastAsia" w:ascii="宋体" w:hAnsi="宋体" w:eastAsia="宋体" w:cs="宋体"/>
          <w:b w:val="0"/>
          <w:bCs w:val="0"/>
          <w:sz w:val="21"/>
          <w:szCs w:val="21"/>
          <w:lang w:val="en-US" w:eastAsia="zh-CN"/>
        </w:rPr>
        <w:t>”。</w:t>
      </w:r>
    </w:p>
    <w:p>
      <w:pPr>
        <w:numPr>
          <w:ilvl w:val="0"/>
          <w:numId w:val="0"/>
        </w:numPr>
        <w:spacing w:line="360" w:lineRule="auto"/>
        <w:jc w:val="both"/>
        <w:rPr>
          <w:rFonts w:hint="default" w:ascii="宋体" w:hAnsi="宋体" w:eastAsia="宋体" w:cs="宋体"/>
          <w:b w:val="0"/>
          <w:bCs w:val="0"/>
          <w:sz w:val="21"/>
          <w:szCs w:val="21"/>
          <w:lang w:val="en-US" w:eastAsia="zh-CN"/>
        </w:rPr>
      </w:pPr>
    </w:p>
    <w:p>
      <w:pPr>
        <w:numPr>
          <w:ilvl w:val="0"/>
          <w:numId w:val="1"/>
        </w:numPr>
        <w:spacing w:line="360" w:lineRule="auto"/>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医药机构费用结算对账说明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通过【3201】医药机构费用结算对总账，当总账对平时，无需进行明细对账；当总账对账不平时按以下方式进行明细对账：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1、通过【9101】上传明细数据</w:t>
      </w:r>
      <w:r>
        <w:rPr>
          <w:rFonts w:hint="eastAsia" w:ascii="宋体" w:hAnsi="宋体" w:cs="宋体"/>
          <w:b w:val="0"/>
          <w:bCs w:val="0"/>
          <w:sz w:val="21"/>
          <w:szCs w:val="21"/>
          <w:lang w:val="en-US" w:eastAsia="zh-CN"/>
        </w:rPr>
        <w:t>，将明细对账数据保存为txt文本，各字段之间需用Tab隔开，并将保存好的</w:t>
      </w:r>
      <w:r>
        <w:rPr>
          <w:rFonts w:hint="default" w:ascii="宋体" w:hAnsi="宋体" w:cs="宋体"/>
          <w:b w:val="0"/>
          <w:bCs w:val="0"/>
          <w:sz w:val="21"/>
          <w:szCs w:val="21"/>
          <w:lang w:val="en-US" w:eastAsia="zh-CN"/>
        </w:rPr>
        <w:t>txt</w:t>
      </w:r>
      <w:r>
        <w:rPr>
          <w:rFonts w:hint="eastAsia" w:ascii="宋体" w:hAnsi="宋体" w:cs="宋体"/>
          <w:b w:val="0"/>
          <w:bCs w:val="0"/>
          <w:sz w:val="21"/>
          <w:szCs w:val="21"/>
          <w:lang w:val="en-US" w:eastAsia="zh-CN"/>
        </w:rPr>
        <w:t>文件压缩为</w:t>
      </w:r>
      <w:r>
        <w:rPr>
          <w:rFonts w:hint="default" w:ascii="宋体" w:hAnsi="宋体" w:cs="宋体"/>
          <w:b w:val="0"/>
          <w:bCs w:val="0"/>
          <w:sz w:val="21"/>
          <w:szCs w:val="21"/>
          <w:lang w:val="en-US" w:eastAsia="zh-CN"/>
        </w:rPr>
        <w:t>zip</w:t>
      </w:r>
      <w:r>
        <w:rPr>
          <w:rFonts w:hint="eastAsia" w:ascii="宋体" w:hAnsi="宋体" w:cs="宋体"/>
          <w:b w:val="0"/>
          <w:bCs w:val="0"/>
          <w:sz w:val="21"/>
          <w:szCs w:val="21"/>
          <w:lang w:val="en-US" w:eastAsia="zh-CN"/>
        </w:rPr>
        <w:t>包，需将</w:t>
      </w:r>
      <w:r>
        <w:rPr>
          <w:rFonts w:hint="default" w:ascii="宋体" w:hAnsi="宋体" w:cs="宋体"/>
          <w:b w:val="0"/>
          <w:bCs w:val="0"/>
          <w:sz w:val="21"/>
          <w:szCs w:val="21"/>
          <w:lang w:val="en-US" w:eastAsia="zh-CN"/>
        </w:rPr>
        <w:t>zip</w:t>
      </w:r>
      <w:r>
        <w:rPr>
          <w:rFonts w:hint="eastAsia" w:ascii="宋体" w:hAnsi="宋体" w:cs="宋体"/>
          <w:b w:val="0"/>
          <w:bCs w:val="0"/>
          <w:sz w:val="21"/>
          <w:szCs w:val="21"/>
          <w:lang w:val="en-US" w:eastAsia="zh-CN"/>
        </w:rPr>
        <w:t>包转换为数组（C#为sbyte数组，其它为byte数组），该数组为【</w:t>
      </w:r>
      <w:r>
        <w:rPr>
          <w:rFonts w:hint="default" w:ascii="宋体" w:hAnsi="宋体" w:cs="宋体"/>
          <w:b w:val="0"/>
          <w:bCs w:val="0"/>
          <w:sz w:val="21"/>
          <w:szCs w:val="21"/>
          <w:lang w:val="en-US" w:eastAsia="zh-CN"/>
        </w:rPr>
        <w:t>9101</w:t>
      </w:r>
      <w:r>
        <w:rPr>
          <w:rFonts w:hint="eastAsia" w:ascii="宋体" w:hAnsi="宋体" w:cs="宋体"/>
          <w:b w:val="0"/>
          <w:bCs w:val="0"/>
          <w:sz w:val="21"/>
          <w:szCs w:val="21"/>
          <w:lang w:val="en-US" w:eastAsia="zh-CN"/>
        </w:rPr>
        <w:t>】入参【</w:t>
      </w:r>
      <w:r>
        <w:rPr>
          <w:rFonts w:hint="default" w:ascii="宋体" w:hAnsi="宋体" w:cs="宋体"/>
          <w:b w:val="0"/>
          <w:bCs w:val="0"/>
          <w:sz w:val="21"/>
          <w:szCs w:val="21"/>
          <w:lang w:val="en-US" w:eastAsia="zh-CN"/>
        </w:rPr>
        <w:t>in</w:t>
      </w:r>
      <w:r>
        <w:rPr>
          <w:rFonts w:hint="eastAsia" w:ascii="宋体" w:hAnsi="宋体" w:cs="宋体"/>
          <w:b w:val="0"/>
          <w:bCs w:val="0"/>
          <w:sz w:val="21"/>
          <w:szCs w:val="21"/>
          <w:lang w:val="en-US" w:eastAsia="zh-CN"/>
        </w:rPr>
        <w:t>】的值</w:t>
      </w:r>
      <w:r>
        <w:rPr>
          <w:rFonts w:hint="eastAsia" w:ascii="宋体" w:hAnsi="宋体" w:eastAsia="宋体" w:cs="宋体"/>
          <w:b w:val="0"/>
          <w:bCs w:val="0"/>
          <w:sz w:val="21"/>
          <w:szCs w:val="21"/>
          <w:lang w:val="en-US" w:eastAsia="zh-CN"/>
        </w:rPr>
        <w:t>，调用接口返回的出参【file_qury_no】放入【3202】中的【file_qury_no】中；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2、【3202】</w:t>
      </w:r>
      <w:r>
        <w:rPr>
          <w:rFonts w:hint="eastAsia"/>
        </w:rPr>
        <w:t>医药机构费用结算对明细账</w:t>
      </w:r>
      <w:r>
        <w:rPr>
          <w:rFonts w:hint="eastAsia"/>
          <w:lang w:eastAsia="zh-CN"/>
        </w:rPr>
        <w:t>，</w:t>
      </w:r>
      <w:r>
        <w:rPr>
          <w:rFonts w:hint="eastAsia"/>
          <w:lang w:val="en-US" w:eastAsia="zh-CN"/>
        </w:rPr>
        <w:t>调用接口返回的</w:t>
      </w:r>
      <w:r>
        <w:rPr>
          <w:rFonts w:hint="eastAsia" w:ascii="宋体" w:hAnsi="宋体" w:eastAsia="宋体" w:cs="宋体"/>
          <w:b w:val="0"/>
          <w:bCs w:val="0"/>
          <w:sz w:val="21"/>
          <w:szCs w:val="21"/>
          <w:lang w:val="en-US" w:eastAsia="zh-CN"/>
        </w:rPr>
        <w:t>出参【file_qury_no】和【filename】作为【9102】中【file_qury_no】和【filename】的入参。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3、通过【9102】下载费用对账明细数据，用于医疗机构处理对账不平数据。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4、对明细账完成后，通过【3201】完成对总账。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p>
    <w:p>
      <w:pPr>
        <w:numPr>
          <w:ilvl w:val="0"/>
          <w:numId w:val="1"/>
        </w:numPr>
        <w:spacing w:line="360" w:lineRule="auto"/>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异地就医清分接口说明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default" w:ascii="宋体" w:hAnsi="宋体" w:eastAsia="宋体" w:cs="宋体"/>
          <w:b w:val="0"/>
          <w:bCs w:val="0"/>
          <w:sz w:val="21"/>
          <w:szCs w:val="21"/>
          <w:lang w:val="en-US" w:eastAsia="zh-CN"/>
        </w:rPr>
        <w:t>【3260】提取异地清分明细：就医地使用此交易提取省内异地外来就医月度结算清分明细,供医疗机构进行确认处理；按照文档填入相对应的值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default" w:ascii="宋体" w:hAnsi="宋体" w:eastAsia="宋体" w:cs="宋体"/>
          <w:b w:val="0"/>
          <w:bCs w:val="0"/>
          <w:sz w:val="21"/>
          <w:szCs w:val="21"/>
          <w:lang w:val="en-US" w:eastAsia="zh-CN"/>
        </w:rPr>
        <w:t>【3261】异地清分结果确认：就医地使用此交易提交省内异地外来就医月度结算清分确认结果；按照文档填入相对应的值，"totalrow"的值填入需要清分的条数；"detail"节点可以传入多条清分数据；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default" w:ascii="宋体" w:hAnsi="宋体" w:eastAsia="宋体" w:cs="宋体"/>
          <w:b w:val="0"/>
          <w:bCs w:val="0"/>
          <w:sz w:val="21"/>
          <w:szCs w:val="21"/>
          <w:lang w:val="en-US" w:eastAsia="zh-CN"/>
        </w:rPr>
        <w:t>【3262】异地清分结果确认回退：就医地使用此交易回退已经提交的就医月度结算清分确认结果；按照文档填入相对应的值；“otransid”的值填入  异地清分确认返回的“inf_refmsgid”值；“otransid”传入‘0’时，回退医疗机构该结算周期的所有确认业务</w:t>
      </w:r>
      <w:r>
        <w:rPr>
          <w:rFonts w:hint="eastAsia" w:ascii="宋体" w:hAnsi="宋体" w:eastAsia="宋体" w:cs="宋体"/>
          <w:b w:val="0"/>
          <w:bCs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两定医疗机构补充接口文档（异地就医清分接口）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object>
          <v:shape id="_x0000_i1027" o:spt="75" type="#_x0000_t75" style="height:66pt;width:72.7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4C5CF7"/>
    <w:multiLevelType w:val="singleLevel"/>
    <w:tmpl w:val="8B4C5CF7"/>
    <w:lvl w:ilvl="0" w:tentative="0">
      <w:start w:val="1"/>
      <w:numFmt w:val="chineseCounting"/>
      <w:suff w:val="nothing"/>
      <w:lvlText w:val="%1、"/>
      <w:lvlJc w:val="left"/>
      <w:rPr>
        <w:rFonts w:hint="eastAsia"/>
      </w:rPr>
    </w:lvl>
  </w:abstractNum>
  <w:abstractNum w:abstractNumId="1">
    <w:nsid w:val="9FBD60FE"/>
    <w:multiLevelType w:val="singleLevel"/>
    <w:tmpl w:val="9FBD60FE"/>
    <w:lvl w:ilvl="0" w:tentative="0">
      <w:start w:val="1"/>
      <w:numFmt w:val="decimal"/>
      <w:suff w:val="nothing"/>
      <w:lvlText w:val="%1、"/>
      <w:lvlJc w:val="left"/>
    </w:lvl>
  </w:abstractNum>
  <w:abstractNum w:abstractNumId="2">
    <w:nsid w:val="A5212236"/>
    <w:multiLevelType w:val="singleLevel"/>
    <w:tmpl w:val="A5212236"/>
    <w:lvl w:ilvl="0" w:tentative="0">
      <w:start w:val="1"/>
      <w:numFmt w:val="decimal"/>
      <w:suff w:val="nothing"/>
      <w:lvlText w:val="%1、"/>
      <w:lvlJc w:val="left"/>
    </w:lvl>
  </w:abstractNum>
  <w:abstractNum w:abstractNumId="3">
    <w:nsid w:val="FFEFEE5B"/>
    <w:multiLevelType w:val="singleLevel"/>
    <w:tmpl w:val="FFEFEE5B"/>
    <w:lvl w:ilvl="0" w:tentative="0">
      <w:start w:val="1"/>
      <w:numFmt w:val="decimal"/>
      <w:suff w:val="nothing"/>
      <w:lvlText w:val="%1、"/>
      <w:lvlJc w:val="left"/>
    </w:lvl>
  </w:abstractNum>
  <w:abstractNum w:abstractNumId="4">
    <w:nsid w:val="2B593777"/>
    <w:multiLevelType w:val="multilevel"/>
    <w:tmpl w:val="2B593777"/>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53A0B658"/>
    <w:multiLevelType w:val="singleLevel"/>
    <w:tmpl w:val="53A0B658"/>
    <w:lvl w:ilvl="0" w:tentative="0">
      <w:start w:val="1"/>
      <w:numFmt w:val="bullet"/>
      <w:lvlText w:val=""/>
      <w:lvlJc w:val="left"/>
      <w:pPr>
        <w:ind w:left="420" w:hanging="420"/>
      </w:pPr>
      <w:rPr>
        <w:rFonts w:hint="default" w:ascii="Wingdings" w:hAnsi="Wingdings"/>
      </w:rPr>
    </w:lvl>
  </w:abstractNum>
  <w:abstractNum w:abstractNumId="6">
    <w:nsid w:val="5B99FD95"/>
    <w:multiLevelType w:val="singleLevel"/>
    <w:tmpl w:val="5B99FD95"/>
    <w:lvl w:ilvl="0" w:tentative="0">
      <w:start w:val="1"/>
      <w:numFmt w:val="decimal"/>
      <w:suff w:val="nothing"/>
      <w:lvlText w:val="%1、"/>
      <w:lvlJc w:val="left"/>
    </w:lvl>
  </w:abstractNum>
  <w:num w:numId="1">
    <w:abstractNumId w:val="0"/>
  </w:num>
  <w:num w:numId="2">
    <w:abstractNumId w:val="3"/>
  </w:num>
  <w:num w:numId="3">
    <w:abstractNumId w:val="2"/>
  </w:num>
  <w:num w:numId="4">
    <w:abstractNumId w:val="4"/>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283A7C"/>
    <w:rsid w:val="003F2016"/>
    <w:rsid w:val="13D73051"/>
    <w:rsid w:val="1A5801BC"/>
    <w:rsid w:val="20FE0555"/>
    <w:rsid w:val="2C552D52"/>
    <w:rsid w:val="316F4F46"/>
    <w:rsid w:val="4BCF64C7"/>
    <w:rsid w:val="79283A7C"/>
    <w:rsid w:val="79EA4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caption"/>
    <w:basedOn w:val="1"/>
    <w:next w:val="1"/>
    <w:qFormat/>
    <w:uiPriority w:val="0"/>
    <w:pPr>
      <w:widowControl w:val="0"/>
      <w:spacing w:line="240" w:lineRule="atLeast"/>
      <w:jc w:val="center"/>
    </w:pPr>
    <w:rPr>
      <w:rFonts w:cs="Arial"/>
      <w:kern w:val="2"/>
    </w:rPr>
  </w:style>
  <w:style w:type="table" w:styleId="5">
    <w:name w:val="Table Grid"/>
    <w:basedOn w:val="4"/>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6">
    <w:name w:val="List Paragraph"/>
    <w:basedOn w:val="1"/>
    <w:qFormat/>
    <w:uiPriority w:val="1"/>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2020-12-19T11:40:00Z</dcterms:created>
  <dc:creator>青蛙</dc:creator>
  <cp:lastModifiedBy>秀</cp:lastModifiedBy>
  <dcterms:modified xsi:type="dcterms:W3CDTF">2021-01-04T01:46:51Z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