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lang w:val="en-US" w:eastAsia="zh-CN"/>
        </w:rPr>
        <w:t>广东省工伤保险辅助器具配置报备表</w:t>
      </w:r>
    </w:p>
    <w:tbl>
      <w:tblPr>
        <w:tblStyle w:val="4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11"/>
        <w:gridCol w:w="1599"/>
        <w:gridCol w:w="830"/>
        <w:gridCol w:w="163"/>
        <w:gridCol w:w="662"/>
        <w:gridCol w:w="836"/>
        <w:gridCol w:w="249"/>
        <w:gridCol w:w="910"/>
        <w:gridCol w:w="32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工伤职工信息栏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9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31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是否参加工伤保险</w:t>
            </w:r>
          </w:p>
        </w:tc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证件类型</w:t>
            </w:r>
          </w:p>
        </w:tc>
        <w:tc>
          <w:tcPr>
            <w:tcW w:w="695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□居民身份证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身份证件号码</w:t>
            </w:r>
          </w:p>
        </w:tc>
        <w:tc>
          <w:tcPr>
            <w:tcW w:w="695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近亲属姓名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及联系电话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695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用人单位名称</w:t>
            </w:r>
          </w:p>
        </w:tc>
        <w:tc>
          <w:tcPr>
            <w:tcW w:w="695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工伤时间</w:t>
            </w:r>
          </w:p>
        </w:tc>
        <w:tc>
          <w:tcPr>
            <w:tcW w:w="24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工伤认定时间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工伤认定决定书文（编）号</w:t>
            </w:r>
          </w:p>
        </w:tc>
        <w:tc>
          <w:tcPr>
            <w:tcW w:w="24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伤残部位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医疗机构填写栏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医疗机构名称</w:t>
            </w:r>
          </w:p>
        </w:tc>
        <w:tc>
          <w:tcPr>
            <w:tcW w:w="43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医疗机构地址</w:t>
            </w:r>
          </w:p>
        </w:tc>
        <w:tc>
          <w:tcPr>
            <w:tcW w:w="433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40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简要描述伤情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及治疗情况</w:t>
            </w:r>
          </w:p>
        </w:tc>
        <w:tc>
          <w:tcPr>
            <w:tcW w:w="6953" w:type="dxa"/>
            <w:gridSpan w:val="9"/>
            <w:vAlign w:val="bottom"/>
          </w:tcPr>
          <w:p>
            <w:pPr>
              <w:wordWrap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640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需要配置的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辅助器具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名称及理由</w:t>
            </w:r>
          </w:p>
        </w:tc>
        <w:tc>
          <w:tcPr>
            <w:tcW w:w="6953" w:type="dxa"/>
            <w:gridSpan w:val="9"/>
            <w:vAlign w:val="bottom"/>
          </w:tcPr>
          <w:p>
            <w:pPr>
              <w:wordWrap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盖章             </w:t>
            </w:r>
          </w:p>
          <w:p>
            <w:pPr>
              <w:wordWrap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年  月  日          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备注：</w:t>
      </w:r>
    </w:p>
    <w:p>
      <w:pPr>
        <w:numPr>
          <w:numId w:val="0"/>
        </w:numPr>
        <w:spacing w:line="400" w:lineRule="exact"/>
        <w:ind w:firstLine="420" w:firstLineChars="200"/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工伤医疗终结后，工伤职工须按照《工伤保险辅助器具配置管理办法》的规定向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参保所在市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劳动能力鉴定委员会提出辅助器具配置确认申请，经确认予以配置的，按照工伤保险有关规定支付费用；</w:t>
      </w:r>
      <w:bookmarkStart w:id="0" w:name="_GoBack"/>
      <w:bookmarkEnd w:id="0"/>
    </w:p>
    <w:p>
      <w:pPr>
        <w:spacing w:line="400" w:lineRule="exact"/>
        <w:ind w:firstLine="420" w:firstLineChars="200"/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本报备表一式五份，工伤职工、用人单位、医疗机构、劳动能力鉴定委员会、经办机构各一份。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Dialo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D3889"/>
    <w:rsid w:val="770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何炜明</cp:lastModifiedBy>
  <dcterms:modified xsi:type="dcterms:W3CDTF">2020-04-23T02:38:41Z</dcterms:modified>
  <dc:title>广东省工伤保险辅助器具配置报备表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