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val="0"/>
        <w:spacing w:line="560" w:lineRule="exact"/>
        <w:ind w:firstLine="0" w:firstLineChars="0"/>
        <w:rPr>
          <w:rFonts w:hint="eastAsia" w:ascii="仿宋_GB2312" w:eastAsia="仿宋_GB2312"/>
          <w:sz w:val="32"/>
          <w:lang w:val="en-US" w:eastAsia="zh-CN"/>
        </w:rPr>
      </w:pPr>
      <w:bookmarkStart w:id="0" w:name="_GoBack"/>
      <w:r>
        <w:rPr>
          <w:rFonts w:hint="eastAsia" w:ascii="仿宋_GB2312" w:eastAsia="仿宋_GB2312"/>
          <w:sz w:val="32"/>
          <w:lang w:eastAsia="zh-CN"/>
        </w:rPr>
        <w:t>附件</w:t>
      </w:r>
      <w:r>
        <w:rPr>
          <w:rFonts w:hint="eastAsia" w:ascii="仿宋_GB2312" w:eastAsia="仿宋_GB2312"/>
          <w:sz w:val="32"/>
          <w:lang w:val="en-US" w:eastAsia="zh-CN"/>
        </w:rPr>
        <w:t>2</w:t>
      </w:r>
      <w:r>
        <w:rPr>
          <w:rFonts w:hint="eastAsia" w:ascii="仿宋_GB2312" w:eastAsia="仿宋_GB2312"/>
          <w:sz w:val="32"/>
        </w:rPr>
        <w:t>指定药店</w:t>
      </w:r>
      <w:r>
        <w:rPr>
          <w:rFonts w:hint="eastAsia" w:ascii="仿宋_GB2312" w:eastAsia="仿宋_GB2312"/>
          <w:sz w:val="32"/>
          <w:lang w:eastAsia="zh-CN"/>
        </w:rPr>
        <w:t>外</w:t>
      </w:r>
      <w:r>
        <w:rPr>
          <w:rFonts w:hint="eastAsia" w:ascii="仿宋_GB2312" w:eastAsia="仿宋_GB2312"/>
          <w:sz w:val="32"/>
        </w:rPr>
        <w:t>购药药品清单</w:t>
      </w:r>
    </w:p>
    <w:bookmarkEnd w:id="0"/>
    <w:tbl>
      <w:tblPr>
        <w:tblStyle w:val="3"/>
        <w:tblW w:w="95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
        <w:gridCol w:w="1379"/>
        <w:gridCol w:w="1027"/>
        <w:gridCol w:w="2700"/>
        <w:gridCol w:w="3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编号</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药品名称</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医保支付标准</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限定支付范围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1</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lang w:eastAsia="zh-CN"/>
              </w:rPr>
              <w:t>阿扎胞苷</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注射剂</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val="en-US" w:eastAsia="zh-CN"/>
              </w:rPr>
            </w:pPr>
            <w:r>
              <w:rPr>
                <w:rFonts w:hint="eastAsia" w:ascii="宋体" w:hAnsi="宋体"/>
                <w:lang w:val="en-US" w:eastAsia="zh-CN"/>
              </w:rPr>
              <w:t>1055元（100mg/支）</w:t>
            </w:r>
          </w:p>
        </w:tc>
        <w:tc>
          <w:tcPr>
            <w:tcW w:w="3978"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lang w:eastAsia="zh-CN"/>
              </w:rPr>
              <w:t>成年患者中</w:t>
            </w:r>
            <w:r>
              <w:rPr>
                <w:rFonts w:hint="eastAsia" w:ascii="宋体" w:hAnsi="宋体"/>
                <w:lang w:val="en-US" w:eastAsia="zh-CN"/>
              </w:rPr>
              <w:t>1.国际预后评分系统（IPSS）中的中危-2及高危骨髓增生异常综合征（MDS）；2.慢性粒-单核细胞白血病（CMML）；3.按照世界卫生组织（WHO）分类的急性髓性白血病（AML）、骨髓原始细胞为20-30%伴多系发育异常的治疗</w:t>
            </w:r>
            <w:r>
              <w:rPr>
                <w:rFonts w:ascii="宋体" w:hAnsi="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2</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lang w:eastAsia="zh-CN"/>
              </w:rPr>
              <w:t>西妥昔单抗</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注射剂</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1295</w:t>
            </w:r>
            <w:r>
              <w:rPr>
                <w:rFonts w:ascii="宋体" w:hAnsi="宋体"/>
              </w:rPr>
              <w:t>元（100mg（</w:t>
            </w:r>
            <w:r>
              <w:rPr>
                <w:rFonts w:hint="eastAsia" w:ascii="宋体" w:hAnsi="宋体"/>
                <w:lang w:val="en-US" w:eastAsia="zh-CN"/>
              </w:rPr>
              <w:t>20</w:t>
            </w:r>
            <w:r>
              <w:rPr>
                <w:rFonts w:ascii="宋体" w:hAnsi="宋体"/>
              </w:rPr>
              <w:t>ml）/瓶）</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lang w:val="en-US" w:eastAsia="zh-CN"/>
              </w:rPr>
            </w:pPr>
            <w:r>
              <w:rPr>
                <w:rFonts w:hint="eastAsia" w:ascii="宋体" w:hAnsi="宋体"/>
                <w:lang w:eastAsia="zh-CN"/>
              </w:rPr>
              <w:t>限</w:t>
            </w:r>
            <w:r>
              <w:rPr>
                <w:rFonts w:hint="eastAsia" w:ascii="宋体" w:hAnsi="宋体"/>
                <w:lang w:val="en-US" w:eastAsia="zh-CN"/>
              </w:rPr>
              <w:t>RAS基因野生型的转移性结直肠癌。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3</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lang w:eastAsia="zh-CN"/>
              </w:rPr>
              <w:t>阿法替尼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lang w:eastAsia="zh-CN"/>
              </w:rPr>
            </w:pPr>
            <w:r>
              <w:rPr>
                <w:rFonts w:hint="eastAsia" w:ascii="宋体" w:hAnsi="宋体"/>
                <w:lang w:val="en-US" w:eastAsia="zh-CN"/>
              </w:rPr>
              <w:t>200</w:t>
            </w:r>
            <w:r>
              <w:rPr>
                <w:rFonts w:ascii="宋体" w:hAnsi="宋体"/>
              </w:rPr>
              <w:t>元（</w:t>
            </w:r>
            <w:r>
              <w:rPr>
                <w:rFonts w:hint="eastAsia" w:ascii="宋体" w:hAnsi="宋体"/>
                <w:lang w:val="en-US" w:eastAsia="zh-CN"/>
              </w:rPr>
              <w:t>40</w:t>
            </w:r>
            <w:r>
              <w:rPr>
                <w:rFonts w:ascii="宋体" w:hAnsi="宋体"/>
              </w:rPr>
              <w:t>mg/</w:t>
            </w:r>
            <w:r>
              <w:rPr>
                <w:rFonts w:hint="eastAsia" w:ascii="宋体" w:hAnsi="宋体"/>
                <w:lang w:eastAsia="zh-CN"/>
              </w:rPr>
              <w:t>片</w:t>
            </w:r>
            <w:r>
              <w:rPr>
                <w:rFonts w:ascii="宋体" w:hAnsi="宋体"/>
              </w:rPr>
              <w:t>）</w:t>
            </w:r>
            <w:r>
              <w:rPr>
                <w:rFonts w:hint="eastAsia" w:ascii="宋体" w:hAnsi="宋体"/>
                <w:lang w:eastAsia="zh-CN"/>
              </w:rPr>
              <w:t>；</w:t>
            </w:r>
          </w:p>
          <w:p>
            <w:pPr>
              <w:autoSpaceDN w:val="0"/>
              <w:jc w:val="center"/>
              <w:textAlignment w:val="center"/>
              <w:rPr>
                <w:rFonts w:hint="eastAsia" w:ascii="宋体" w:hAnsi="宋体"/>
                <w:lang w:val="en-US" w:eastAsia="zh-CN"/>
              </w:rPr>
            </w:pPr>
            <w:r>
              <w:rPr>
                <w:rFonts w:hint="eastAsia" w:ascii="宋体" w:hAnsi="宋体"/>
                <w:lang w:val="en-US" w:eastAsia="zh-CN"/>
              </w:rPr>
              <w:t>160.5元（30mg/片）</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eastAsia="宋体"/>
                <w:lang w:val="en-US" w:eastAsia="zh-CN"/>
              </w:rPr>
            </w:pPr>
            <w:r>
              <w:rPr>
                <w:rFonts w:hint="eastAsia" w:ascii="宋体" w:hAnsi="宋体"/>
                <w:lang w:val="en-US" w:eastAsia="zh-CN"/>
              </w:rPr>
              <w:t>1.具有EGFR基因敏感突变的局部晚期或转移性非小细胞肺癌，既往未接受过EGFR-TKI治疗。2.含铂化疗期间或化疗后疾病进展的局部晚期或转移性鳞状组织学类型的非小细胞肺癌。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4</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lang w:eastAsia="zh-CN"/>
              </w:rPr>
              <w:t>阿昔替尼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lang w:eastAsia="zh-CN"/>
              </w:rPr>
            </w:pPr>
            <w:r>
              <w:rPr>
                <w:rFonts w:hint="eastAsia" w:ascii="宋体" w:hAnsi="宋体"/>
                <w:lang w:val="en-US" w:eastAsia="zh-CN"/>
              </w:rPr>
              <w:t>207</w:t>
            </w:r>
            <w:r>
              <w:rPr>
                <w:rFonts w:ascii="宋体" w:hAnsi="宋体"/>
              </w:rPr>
              <w:t>元（</w:t>
            </w:r>
            <w:r>
              <w:rPr>
                <w:rFonts w:hint="eastAsia" w:ascii="宋体" w:hAnsi="宋体"/>
                <w:lang w:val="en-US" w:eastAsia="zh-CN"/>
              </w:rPr>
              <w:t>5</w:t>
            </w:r>
            <w:r>
              <w:rPr>
                <w:rFonts w:ascii="宋体" w:hAnsi="宋体"/>
              </w:rPr>
              <w:t>mg/</w:t>
            </w:r>
            <w:r>
              <w:rPr>
                <w:rFonts w:hint="eastAsia" w:ascii="宋体" w:hAnsi="宋体"/>
                <w:lang w:eastAsia="zh-CN"/>
              </w:rPr>
              <w:t>片</w:t>
            </w:r>
            <w:r>
              <w:rPr>
                <w:rFonts w:ascii="宋体" w:hAnsi="宋体"/>
              </w:rPr>
              <w:t>）</w:t>
            </w:r>
            <w:r>
              <w:rPr>
                <w:rFonts w:hint="eastAsia" w:ascii="宋体" w:hAnsi="宋体"/>
                <w:lang w:eastAsia="zh-CN"/>
              </w:rPr>
              <w:t>；</w:t>
            </w:r>
          </w:p>
          <w:p>
            <w:pPr>
              <w:autoSpaceDN w:val="0"/>
              <w:jc w:val="center"/>
              <w:textAlignment w:val="center"/>
              <w:rPr>
                <w:rFonts w:ascii="宋体" w:hAnsi="宋体"/>
              </w:rPr>
            </w:pPr>
            <w:r>
              <w:rPr>
                <w:rFonts w:hint="eastAsia" w:ascii="宋体" w:hAnsi="宋体"/>
                <w:lang w:val="en-US" w:eastAsia="zh-CN"/>
              </w:rPr>
              <w:t>60.4元（1mg/片）</w:t>
            </w:r>
          </w:p>
        </w:tc>
        <w:tc>
          <w:tcPr>
            <w:tcW w:w="397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ascii="宋体" w:hAnsi="宋体"/>
              </w:rPr>
            </w:pPr>
            <w:r>
              <w:rPr>
                <w:rFonts w:hint="eastAsia" w:ascii="宋体" w:hAnsi="宋体" w:eastAsia="宋体" w:cs="宋体"/>
                <w:i w:val="0"/>
                <w:color w:val="000000"/>
                <w:kern w:val="0"/>
                <w:sz w:val="21"/>
                <w:szCs w:val="21"/>
                <w:u w:val="none"/>
                <w:lang w:val="en-US" w:eastAsia="zh-CN" w:bidi="ar"/>
              </w:rPr>
              <w:t>限既往接受过一种酪氨酸激酶抑制剂或细胞因子治疗失败的进展期肾细胞癌(RCC)的成人患者。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5</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ascii="宋体" w:hAnsi="宋体"/>
              </w:rPr>
            </w:pPr>
            <w:r>
              <w:rPr>
                <w:rFonts w:hint="eastAsia" w:ascii="宋体" w:hAnsi="宋体" w:eastAsia="宋体" w:cs="Times New Roman"/>
                <w:i w:val="0"/>
                <w:kern w:val="2"/>
                <w:sz w:val="21"/>
                <w:szCs w:val="22"/>
                <w:u w:val="none"/>
                <w:lang w:val="en-US" w:eastAsia="zh-CN" w:bidi="ar"/>
              </w:rPr>
              <w:t>安罗替尼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487</w:t>
            </w:r>
            <w:r>
              <w:rPr>
                <w:rFonts w:ascii="宋体" w:hAnsi="宋体"/>
              </w:rPr>
              <w:t>元（</w:t>
            </w:r>
            <w:r>
              <w:rPr>
                <w:rFonts w:hint="eastAsia" w:ascii="宋体" w:hAnsi="宋体"/>
                <w:lang w:val="en-US" w:eastAsia="zh-CN"/>
              </w:rPr>
              <w:t>12</w:t>
            </w:r>
            <w:r>
              <w:rPr>
                <w:rFonts w:ascii="宋体" w:hAnsi="宋体"/>
              </w:rPr>
              <w:t>mg/</w:t>
            </w:r>
            <w:r>
              <w:rPr>
                <w:rFonts w:hint="eastAsia" w:ascii="宋体" w:hAnsi="宋体"/>
                <w:lang w:eastAsia="zh-CN"/>
              </w:rPr>
              <w:t>粒</w:t>
            </w:r>
            <w:r>
              <w:rPr>
                <w:rFonts w:ascii="宋体" w:hAnsi="宋体"/>
              </w:rPr>
              <w:t>）</w:t>
            </w:r>
          </w:p>
          <w:p>
            <w:pPr>
              <w:autoSpaceDN w:val="0"/>
              <w:jc w:val="center"/>
              <w:textAlignment w:val="center"/>
              <w:rPr>
                <w:rFonts w:ascii="宋体" w:hAnsi="宋体"/>
              </w:rPr>
            </w:pPr>
            <w:r>
              <w:rPr>
                <w:rFonts w:hint="eastAsia" w:ascii="宋体" w:hAnsi="宋体"/>
                <w:lang w:val="en-US" w:eastAsia="zh-CN"/>
              </w:rPr>
              <w:t>423.6</w:t>
            </w:r>
            <w:r>
              <w:rPr>
                <w:rFonts w:ascii="宋体" w:hAnsi="宋体"/>
              </w:rPr>
              <w:t>元（</w:t>
            </w:r>
            <w:r>
              <w:rPr>
                <w:rFonts w:hint="eastAsia" w:ascii="宋体" w:hAnsi="宋体"/>
                <w:lang w:val="en-US" w:eastAsia="zh-CN"/>
              </w:rPr>
              <w:t>10</w:t>
            </w:r>
            <w:r>
              <w:rPr>
                <w:rFonts w:ascii="宋体" w:hAnsi="宋体"/>
              </w:rPr>
              <w:t>mg/</w:t>
            </w:r>
            <w:r>
              <w:rPr>
                <w:rFonts w:hint="eastAsia" w:ascii="宋体" w:hAnsi="宋体"/>
                <w:lang w:eastAsia="zh-CN"/>
              </w:rPr>
              <w:t>粒</w:t>
            </w:r>
            <w:r>
              <w:rPr>
                <w:rFonts w:ascii="宋体" w:hAnsi="宋体"/>
              </w:rPr>
              <w:t>）</w:t>
            </w:r>
          </w:p>
          <w:p>
            <w:pPr>
              <w:autoSpaceDN w:val="0"/>
              <w:jc w:val="center"/>
              <w:textAlignment w:val="center"/>
              <w:rPr>
                <w:rFonts w:ascii="宋体" w:hAnsi="宋体"/>
              </w:rPr>
            </w:pPr>
            <w:r>
              <w:rPr>
                <w:rFonts w:hint="eastAsia" w:ascii="宋体" w:hAnsi="宋体"/>
                <w:lang w:val="en-US" w:eastAsia="zh-CN"/>
              </w:rPr>
              <w:t>357</w:t>
            </w:r>
            <w:r>
              <w:rPr>
                <w:rFonts w:ascii="宋体" w:hAnsi="宋体"/>
              </w:rPr>
              <w:t>元（</w:t>
            </w:r>
            <w:r>
              <w:rPr>
                <w:rFonts w:hint="eastAsia" w:ascii="宋体" w:hAnsi="宋体"/>
                <w:lang w:val="en-US" w:eastAsia="zh-CN"/>
              </w:rPr>
              <w:t>8</w:t>
            </w:r>
            <w:r>
              <w:rPr>
                <w:rFonts w:ascii="宋体" w:hAnsi="宋体"/>
              </w:rPr>
              <w:t>mg/</w:t>
            </w:r>
            <w:r>
              <w:rPr>
                <w:rFonts w:hint="eastAsia" w:ascii="宋体" w:hAnsi="宋体"/>
                <w:lang w:eastAsia="zh-CN"/>
              </w:rPr>
              <w:t>粒</w:t>
            </w:r>
            <w:r>
              <w:rPr>
                <w:rFonts w:ascii="宋体" w:hAnsi="宋体"/>
              </w:rPr>
              <w:t>）</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rPr>
              <w:t>限既往至少接受过2种系统化疗后出现进展或复发的局部晚期或转移性非小细胞肺癌患者。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6</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奥希替尼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lang w:eastAsia="zh-CN"/>
              </w:rPr>
            </w:pPr>
            <w:r>
              <w:rPr>
                <w:rFonts w:hint="eastAsia" w:ascii="宋体" w:hAnsi="宋体"/>
                <w:lang w:val="en-US" w:eastAsia="zh-CN"/>
              </w:rPr>
              <w:t>510</w:t>
            </w:r>
            <w:r>
              <w:rPr>
                <w:rFonts w:ascii="宋体" w:hAnsi="宋体"/>
              </w:rPr>
              <w:t>元（</w:t>
            </w:r>
            <w:r>
              <w:rPr>
                <w:rFonts w:hint="eastAsia" w:ascii="宋体" w:hAnsi="宋体"/>
                <w:lang w:val="en-US" w:eastAsia="zh-CN"/>
              </w:rPr>
              <w:t>80</w:t>
            </w:r>
            <w:r>
              <w:rPr>
                <w:rFonts w:ascii="宋体" w:hAnsi="宋体"/>
              </w:rPr>
              <w:t>mg/</w:t>
            </w:r>
            <w:r>
              <w:rPr>
                <w:rFonts w:hint="eastAsia" w:ascii="宋体" w:hAnsi="宋体"/>
                <w:lang w:eastAsia="zh-CN"/>
              </w:rPr>
              <w:t>片</w:t>
            </w:r>
            <w:r>
              <w:rPr>
                <w:rFonts w:ascii="宋体" w:hAnsi="宋体"/>
              </w:rPr>
              <w:t>）</w:t>
            </w:r>
            <w:r>
              <w:rPr>
                <w:rFonts w:hint="eastAsia" w:ascii="宋体" w:hAnsi="宋体"/>
                <w:lang w:eastAsia="zh-CN"/>
              </w:rPr>
              <w:t>；</w:t>
            </w:r>
          </w:p>
          <w:p>
            <w:pPr>
              <w:autoSpaceDN w:val="0"/>
              <w:jc w:val="center"/>
              <w:textAlignment w:val="center"/>
              <w:rPr>
                <w:rFonts w:ascii="宋体" w:hAnsi="宋体"/>
              </w:rPr>
            </w:pPr>
            <w:r>
              <w:rPr>
                <w:rFonts w:hint="eastAsia" w:ascii="宋体" w:hAnsi="宋体"/>
                <w:lang w:val="en-US" w:eastAsia="zh-CN"/>
              </w:rPr>
              <w:t>300元（40mg/片</w:t>
            </w:r>
            <w:r>
              <w:rPr>
                <w:rFonts w:ascii="宋体" w:hAnsi="宋体"/>
              </w:rPr>
              <w:t>）</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限既往因表皮生长因子受体（EGFR）酪氨酸激酶抑制剂（TKI）治疗时或治疗后出现疾病进展，并且经检验确认存在EGFR T790M 突变阳性的局部晚期或转移性非小细胞肺癌成人患者。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7</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克唑替尼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260</w:t>
            </w:r>
            <w:r>
              <w:rPr>
                <w:rFonts w:ascii="宋体" w:hAnsi="宋体"/>
              </w:rPr>
              <w:t>元（</w:t>
            </w:r>
            <w:r>
              <w:rPr>
                <w:rFonts w:hint="eastAsia" w:ascii="宋体" w:hAnsi="宋体"/>
                <w:lang w:val="en-US" w:eastAsia="zh-CN"/>
              </w:rPr>
              <w:t>250</w:t>
            </w:r>
            <w:r>
              <w:rPr>
                <w:rFonts w:ascii="宋体" w:hAnsi="宋体"/>
              </w:rPr>
              <w:t>mg/</w:t>
            </w:r>
            <w:r>
              <w:rPr>
                <w:rFonts w:hint="eastAsia" w:ascii="宋体" w:hAnsi="宋体"/>
                <w:lang w:eastAsia="zh-CN"/>
              </w:rPr>
              <w:t>粒</w:t>
            </w:r>
            <w:r>
              <w:rPr>
                <w:rFonts w:ascii="宋体" w:hAnsi="宋体"/>
              </w:rPr>
              <w:t>）</w:t>
            </w:r>
          </w:p>
          <w:p>
            <w:pPr>
              <w:autoSpaceDN w:val="0"/>
              <w:jc w:val="center"/>
              <w:textAlignment w:val="center"/>
              <w:rPr>
                <w:rFonts w:ascii="宋体" w:hAnsi="宋体"/>
              </w:rPr>
            </w:pPr>
            <w:r>
              <w:rPr>
                <w:rFonts w:hint="eastAsia" w:ascii="宋体" w:hAnsi="宋体"/>
                <w:lang w:val="en-US" w:eastAsia="zh-CN"/>
              </w:rPr>
              <w:t>219.2</w:t>
            </w:r>
            <w:r>
              <w:rPr>
                <w:rFonts w:ascii="宋体" w:hAnsi="宋体"/>
              </w:rPr>
              <w:t>元（</w:t>
            </w:r>
            <w:r>
              <w:rPr>
                <w:rFonts w:hint="eastAsia" w:ascii="宋体" w:hAnsi="宋体"/>
                <w:lang w:val="en-US" w:eastAsia="zh-CN"/>
              </w:rPr>
              <w:t>200</w:t>
            </w:r>
            <w:r>
              <w:rPr>
                <w:rFonts w:ascii="宋体" w:hAnsi="宋体"/>
              </w:rPr>
              <w:t>mg/</w:t>
            </w:r>
            <w:r>
              <w:rPr>
                <w:rFonts w:hint="eastAsia" w:ascii="宋体" w:hAnsi="宋体"/>
                <w:lang w:eastAsia="zh-CN"/>
              </w:rPr>
              <w:t>粒</w:t>
            </w:r>
            <w:r>
              <w:rPr>
                <w:rFonts w:ascii="宋体" w:hAnsi="宋体"/>
              </w:rPr>
              <w:t>）</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限间变性淋巴瘤激酶（ALK）阳性的局部晚期或转移性非小细胞肺癌患者或 ROS1阳性的晚期非小细胞肺癌患者。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8</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eastAsia="zh-CN"/>
              </w:rPr>
              <w:t>尼洛</w:t>
            </w:r>
            <w:r>
              <w:rPr>
                <w:rFonts w:ascii="宋体" w:hAnsi="宋体"/>
              </w:rPr>
              <w:t>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94.7</w:t>
            </w:r>
            <w:r>
              <w:rPr>
                <w:rFonts w:ascii="宋体" w:hAnsi="宋体"/>
              </w:rPr>
              <w:t>元（</w:t>
            </w:r>
            <w:r>
              <w:rPr>
                <w:rFonts w:hint="eastAsia" w:ascii="宋体" w:hAnsi="宋体"/>
                <w:lang w:val="en-US" w:eastAsia="zh-CN"/>
              </w:rPr>
              <w:t>200</w:t>
            </w:r>
            <w:r>
              <w:rPr>
                <w:rFonts w:ascii="宋体" w:hAnsi="宋体"/>
              </w:rPr>
              <w:t>mg/片）</w:t>
            </w:r>
          </w:p>
          <w:p>
            <w:pPr>
              <w:autoSpaceDN w:val="0"/>
              <w:jc w:val="center"/>
              <w:textAlignment w:val="center"/>
              <w:rPr>
                <w:rFonts w:ascii="宋体" w:hAnsi="宋体"/>
              </w:rPr>
            </w:pPr>
            <w:r>
              <w:rPr>
                <w:rFonts w:hint="eastAsia" w:ascii="宋体" w:hAnsi="宋体"/>
                <w:lang w:val="en-US" w:eastAsia="zh-CN"/>
              </w:rPr>
              <w:t>76</w:t>
            </w:r>
            <w:r>
              <w:rPr>
                <w:rFonts w:ascii="宋体" w:hAnsi="宋体"/>
              </w:rPr>
              <w:t>元（</w:t>
            </w:r>
            <w:r>
              <w:rPr>
                <w:rFonts w:hint="eastAsia" w:ascii="宋体" w:hAnsi="宋体"/>
                <w:lang w:val="en-US" w:eastAsia="zh-CN"/>
              </w:rPr>
              <w:t>150</w:t>
            </w:r>
            <w:r>
              <w:rPr>
                <w:rFonts w:ascii="宋体" w:hAnsi="宋体"/>
              </w:rPr>
              <w:t>mg/片）</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限治疗新诊断的费城染色体阳性的慢性髓性白血病（Ph+ CML）慢性期成人患者，或对既往治疗（包括伊马替尼）耐药或不耐受的费城染色体阳性的慢性髓性白血病（Ph+ CML）慢性期或加速期成人患者。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9</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培唑帕尼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272</w:t>
            </w:r>
            <w:r>
              <w:rPr>
                <w:rFonts w:ascii="宋体" w:hAnsi="宋体"/>
              </w:rPr>
              <w:t>元（</w:t>
            </w:r>
            <w:r>
              <w:rPr>
                <w:rFonts w:hint="eastAsia" w:ascii="宋体" w:hAnsi="宋体"/>
                <w:lang w:val="en-US" w:eastAsia="zh-CN"/>
              </w:rPr>
              <w:t>400</w:t>
            </w:r>
            <w:r>
              <w:rPr>
                <w:rFonts w:ascii="宋体" w:hAnsi="宋体"/>
              </w:rPr>
              <w:t>mg/片）</w:t>
            </w:r>
            <w:r>
              <w:rPr>
                <w:rFonts w:hint="eastAsia" w:ascii="宋体" w:hAnsi="宋体"/>
                <w:lang w:val="en-US" w:eastAsia="zh-CN"/>
              </w:rPr>
              <w:t xml:space="preserve">      160</w:t>
            </w:r>
            <w:r>
              <w:rPr>
                <w:rFonts w:ascii="宋体" w:hAnsi="宋体"/>
              </w:rPr>
              <w:t>元（</w:t>
            </w:r>
            <w:r>
              <w:rPr>
                <w:rFonts w:hint="eastAsia" w:ascii="宋体" w:hAnsi="宋体"/>
                <w:lang w:val="en-US" w:eastAsia="zh-CN"/>
              </w:rPr>
              <w:t>200</w:t>
            </w:r>
            <w:r>
              <w:rPr>
                <w:rFonts w:ascii="宋体" w:hAnsi="宋体"/>
              </w:rPr>
              <w:t>mg/片）</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晚期肾细胞癌患者的一线治疗和曾经接受过细胞因子治疗的晚期肾细胞癌的治疗。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10</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瑞戈非尼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196</w:t>
            </w:r>
            <w:r>
              <w:rPr>
                <w:rFonts w:ascii="宋体" w:hAnsi="宋体"/>
              </w:rPr>
              <w:t>元（</w:t>
            </w:r>
            <w:r>
              <w:rPr>
                <w:rFonts w:hint="eastAsia" w:ascii="宋体" w:hAnsi="宋体"/>
                <w:lang w:val="en-US" w:eastAsia="zh-CN"/>
              </w:rPr>
              <w:t>40</w:t>
            </w:r>
            <w:r>
              <w:rPr>
                <w:rFonts w:ascii="宋体" w:hAnsi="宋体"/>
              </w:rPr>
              <w:t>mg/片）</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1.肝细胞癌二线治疗；2.转移性结直肠癌三线治疗；3.胃肠道间质瘤三线治疗。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11</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塞瑞替尼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198</w:t>
            </w:r>
            <w:r>
              <w:rPr>
                <w:rFonts w:ascii="宋体" w:hAnsi="宋体"/>
              </w:rPr>
              <w:t>元（</w:t>
            </w:r>
            <w:r>
              <w:rPr>
                <w:rFonts w:hint="eastAsia" w:ascii="宋体" w:hAnsi="宋体"/>
                <w:lang w:val="en-US" w:eastAsia="zh-CN"/>
              </w:rPr>
              <w:t>150</w:t>
            </w:r>
            <w:r>
              <w:rPr>
                <w:rFonts w:ascii="宋体" w:hAnsi="宋体"/>
              </w:rPr>
              <w:t>mg/</w:t>
            </w:r>
            <w:r>
              <w:rPr>
                <w:rFonts w:hint="eastAsia" w:ascii="宋体" w:hAnsi="宋体"/>
                <w:lang w:eastAsia="zh-CN"/>
              </w:rPr>
              <w:t>粒</w:t>
            </w:r>
            <w:r>
              <w:rPr>
                <w:rFonts w:ascii="宋体" w:hAnsi="宋体"/>
              </w:rPr>
              <w:t>）</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接受过克唑替尼治疗后进展的或者对克唑替尼不耐受的间变性淋巴瘤激酶（ALK）阳性局部晚期或转移性非小细胞肺癌（NSCLC）患者。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12</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舒尼替尼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448</w:t>
            </w:r>
            <w:r>
              <w:rPr>
                <w:rFonts w:ascii="宋体" w:hAnsi="宋体"/>
              </w:rPr>
              <w:t>元（</w:t>
            </w:r>
            <w:r>
              <w:rPr>
                <w:rFonts w:hint="eastAsia" w:ascii="宋体" w:hAnsi="宋体"/>
                <w:lang w:val="en-US" w:eastAsia="zh-CN"/>
              </w:rPr>
              <w:t>50</w:t>
            </w:r>
            <w:r>
              <w:rPr>
                <w:rFonts w:ascii="宋体" w:hAnsi="宋体"/>
              </w:rPr>
              <w:t>mg/</w:t>
            </w:r>
            <w:r>
              <w:rPr>
                <w:rFonts w:hint="eastAsia" w:ascii="宋体" w:hAnsi="宋体"/>
                <w:lang w:eastAsia="zh-CN"/>
              </w:rPr>
              <w:t>粒</w:t>
            </w:r>
            <w:r>
              <w:rPr>
                <w:rFonts w:ascii="宋体" w:hAnsi="宋体"/>
              </w:rPr>
              <w:t>）</w:t>
            </w:r>
            <w:r>
              <w:rPr>
                <w:rFonts w:hint="eastAsia" w:ascii="宋体" w:hAnsi="宋体"/>
                <w:lang w:val="en-US" w:eastAsia="zh-CN"/>
              </w:rPr>
              <w:t xml:space="preserve">     359.4</w:t>
            </w:r>
            <w:r>
              <w:rPr>
                <w:rFonts w:ascii="宋体" w:hAnsi="宋体"/>
              </w:rPr>
              <w:t>元（</w:t>
            </w:r>
            <w:r>
              <w:rPr>
                <w:rFonts w:hint="eastAsia" w:ascii="宋体" w:hAnsi="宋体"/>
                <w:lang w:val="en-US" w:eastAsia="zh-CN"/>
              </w:rPr>
              <w:t>37.5</w:t>
            </w:r>
            <w:r>
              <w:rPr>
                <w:rFonts w:ascii="宋体" w:hAnsi="宋体"/>
              </w:rPr>
              <w:t>mg/</w:t>
            </w:r>
            <w:r>
              <w:rPr>
                <w:rFonts w:hint="eastAsia" w:ascii="宋体" w:hAnsi="宋体"/>
                <w:lang w:eastAsia="zh-CN"/>
              </w:rPr>
              <w:t>粒</w:t>
            </w:r>
            <w:r>
              <w:rPr>
                <w:rFonts w:ascii="宋体" w:hAnsi="宋体"/>
              </w:rPr>
              <w:t>）</w:t>
            </w:r>
            <w:r>
              <w:rPr>
                <w:rFonts w:hint="eastAsia" w:ascii="宋体" w:hAnsi="宋体"/>
                <w:lang w:val="en-US" w:eastAsia="zh-CN"/>
              </w:rPr>
              <w:t xml:space="preserve">  263.5</w:t>
            </w:r>
            <w:r>
              <w:rPr>
                <w:rFonts w:ascii="宋体" w:hAnsi="宋体"/>
              </w:rPr>
              <w:t>元（</w:t>
            </w:r>
            <w:r>
              <w:rPr>
                <w:rFonts w:hint="eastAsia" w:ascii="宋体" w:hAnsi="宋体"/>
                <w:lang w:val="en-US" w:eastAsia="zh-CN"/>
              </w:rPr>
              <w:t>25</w:t>
            </w:r>
            <w:r>
              <w:rPr>
                <w:rFonts w:ascii="宋体" w:hAnsi="宋体"/>
              </w:rPr>
              <w:t>mg/</w:t>
            </w:r>
            <w:r>
              <w:rPr>
                <w:rFonts w:hint="eastAsia" w:ascii="宋体" w:hAnsi="宋体"/>
                <w:lang w:eastAsia="zh-CN"/>
              </w:rPr>
              <w:t>粒</w:t>
            </w:r>
            <w:r>
              <w:rPr>
                <w:rFonts w:ascii="宋体" w:hAnsi="宋体"/>
              </w:rPr>
              <w:t>）</w:t>
            </w:r>
          </w:p>
          <w:p>
            <w:pPr>
              <w:autoSpaceDN w:val="0"/>
              <w:jc w:val="center"/>
              <w:textAlignment w:val="center"/>
              <w:rPr>
                <w:rFonts w:ascii="宋体" w:hAnsi="宋体"/>
              </w:rPr>
            </w:pPr>
            <w:r>
              <w:rPr>
                <w:rFonts w:hint="eastAsia" w:ascii="宋体" w:hAnsi="宋体"/>
                <w:lang w:val="en-US" w:eastAsia="zh-CN"/>
              </w:rPr>
              <w:t>155</w:t>
            </w:r>
            <w:r>
              <w:rPr>
                <w:rFonts w:ascii="宋体" w:hAnsi="宋体"/>
              </w:rPr>
              <w:t>元（</w:t>
            </w:r>
            <w:r>
              <w:rPr>
                <w:rFonts w:hint="eastAsia" w:ascii="宋体" w:hAnsi="宋体"/>
                <w:lang w:val="en-US" w:eastAsia="zh-CN"/>
              </w:rPr>
              <w:t>12.5</w:t>
            </w:r>
            <w:r>
              <w:rPr>
                <w:rFonts w:ascii="宋体" w:hAnsi="宋体"/>
              </w:rPr>
              <w:t>mg/</w:t>
            </w:r>
            <w:r>
              <w:rPr>
                <w:rFonts w:hint="eastAsia" w:ascii="宋体" w:hAnsi="宋体"/>
                <w:lang w:eastAsia="zh-CN"/>
              </w:rPr>
              <w:t>粒</w:t>
            </w:r>
            <w:r>
              <w:rPr>
                <w:rFonts w:ascii="宋体" w:hAnsi="宋体"/>
              </w:rPr>
              <w:t>）</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1.不能手术的晚期肾细胞癌（RCC)；2.甲磺酸伊马替尼治疗失败或不能耐受的胃肠间质瘤（GIST)；3.不可切除的，转移性高分化进展期胰腺神经内分泌瘤（pNET）成人患者。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13</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维莫非尼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112</w:t>
            </w:r>
            <w:r>
              <w:rPr>
                <w:rFonts w:ascii="宋体" w:hAnsi="宋体"/>
              </w:rPr>
              <w:t>元（</w:t>
            </w:r>
            <w:r>
              <w:rPr>
                <w:rFonts w:hint="eastAsia" w:ascii="宋体" w:hAnsi="宋体"/>
                <w:lang w:val="en-US" w:eastAsia="zh-CN"/>
              </w:rPr>
              <w:t>240</w:t>
            </w:r>
            <w:r>
              <w:rPr>
                <w:rFonts w:ascii="宋体" w:hAnsi="宋体"/>
              </w:rPr>
              <w:t>mg/片）</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治疗经CFDA批准的检测方法确定的BRAF V600 突变阳性的不可切除或转移性黑色素瘤。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14</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伊布替尼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189</w:t>
            </w:r>
            <w:r>
              <w:rPr>
                <w:rFonts w:ascii="宋体" w:hAnsi="宋体"/>
              </w:rPr>
              <w:t>元（</w:t>
            </w:r>
            <w:r>
              <w:rPr>
                <w:rFonts w:hint="eastAsia" w:ascii="宋体" w:hAnsi="宋体"/>
                <w:lang w:val="en-US" w:eastAsia="zh-CN"/>
              </w:rPr>
              <w:t>140</w:t>
            </w:r>
            <w:r>
              <w:rPr>
                <w:rFonts w:ascii="宋体" w:hAnsi="宋体"/>
              </w:rPr>
              <w:t>mg/</w:t>
            </w:r>
            <w:r>
              <w:rPr>
                <w:rFonts w:hint="eastAsia" w:ascii="宋体" w:hAnsi="宋体"/>
                <w:lang w:eastAsia="zh-CN"/>
              </w:rPr>
              <w:t>粒）</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1.既往至少接受过一种治疗的套细胞淋巴瘤（MCL）患者的治疗;2.慢性淋巴细胞白血病/小淋巴细胞淋巴瘤（CLL/SLL）患者的治疗。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15</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rPr>
              <w:t>伊沙佐米</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ascii="宋体" w:hAnsi="宋体"/>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rPr>
            </w:pPr>
            <w:r>
              <w:rPr>
                <w:rFonts w:hint="eastAsia" w:ascii="宋体" w:hAnsi="宋体"/>
                <w:lang w:val="en-US" w:eastAsia="zh-CN"/>
              </w:rPr>
              <w:t>4933</w:t>
            </w:r>
            <w:r>
              <w:rPr>
                <w:rFonts w:ascii="宋体" w:hAnsi="宋体"/>
              </w:rPr>
              <w:t>元（</w:t>
            </w:r>
            <w:r>
              <w:rPr>
                <w:rFonts w:hint="eastAsia" w:ascii="宋体" w:hAnsi="宋体"/>
                <w:lang w:val="en-US" w:eastAsia="zh-CN"/>
              </w:rPr>
              <w:t>4</w:t>
            </w:r>
            <w:r>
              <w:rPr>
                <w:rFonts w:ascii="宋体" w:hAnsi="宋体"/>
              </w:rPr>
              <w:t>mg/</w:t>
            </w:r>
            <w:r>
              <w:rPr>
                <w:rFonts w:hint="eastAsia" w:ascii="宋体" w:hAnsi="宋体"/>
                <w:lang w:eastAsia="zh-CN"/>
              </w:rPr>
              <w:t>粒</w:t>
            </w:r>
            <w:r>
              <w:rPr>
                <w:rFonts w:ascii="宋体" w:hAnsi="宋体"/>
              </w:rPr>
              <w:t>）</w:t>
            </w:r>
            <w:r>
              <w:rPr>
                <w:rFonts w:hint="eastAsia" w:ascii="宋体" w:hAnsi="宋体"/>
                <w:lang w:val="en-US" w:eastAsia="zh-CN"/>
              </w:rPr>
              <w:t xml:space="preserve">    3957.9</w:t>
            </w:r>
            <w:r>
              <w:rPr>
                <w:rFonts w:ascii="宋体" w:hAnsi="宋体"/>
              </w:rPr>
              <w:t>元（</w:t>
            </w:r>
            <w:r>
              <w:rPr>
                <w:rFonts w:hint="eastAsia" w:ascii="宋体" w:hAnsi="宋体"/>
                <w:lang w:val="en-US" w:eastAsia="zh-CN"/>
              </w:rPr>
              <w:t>3</w:t>
            </w:r>
            <w:r>
              <w:rPr>
                <w:rFonts w:ascii="宋体" w:hAnsi="宋体"/>
              </w:rPr>
              <w:t>mg/</w:t>
            </w:r>
            <w:r>
              <w:rPr>
                <w:rFonts w:hint="eastAsia" w:ascii="宋体" w:hAnsi="宋体"/>
                <w:lang w:eastAsia="zh-CN"/>
              </w:rPr>
              <w:t>粒</w:t>
            </w:r>
            <w:r>
              <w:rPr>
                <w:rFonts w:ascii="宋体" w:hAnsi="宋体"/>
              </w:rPr>
              <w:t>）</w:t>
            </w:r>
            <w:r>
              <w:rPr>
                <w:rFonts w:hint="eastAsia" w:ascii="宋体" w:hAnsi="宋体"/>
                <w:lang w:val="en-US" w:eastAsia="zh-CN"/>
              </w:rPr>
              <w:t xml:space="preserve">  3229.4</w:t>
            </w:r>
            <w:r>
              <w:rPr>
                <w:rFonts w:ascii="宋体" w:hAnsi="宋体"/>
              </w:rPr>
              <w:t>元（</w:t>
            </w:r>
            <w:r>
              <w:rPr>
                <w:rFonts w:hint="eastAsia" w:ascii="宋体" w:hAnsi="宋体"/>
                <w:lang w:val="en-US" w:eastAsia="zh-CN"/>
              </w:rPr>
              <w:t>2.3</w:t>
            </w:r>
            <w:r>
              <w:rPr>
                <w:rFonts w:ascii="宋体" w:hAnsi="宋体"/>
              </w:rPr>
              <w:t>mg/</w:t>
            </w:r>
            <w:r>
              <w:rPr>
                <w:rFonts w:hint="eastAsia" w:ascii="宋体" w:hAnsi="宋体"/>
                <w:lang w:eastAsia="zh-CN"/>
              </w:rPr>
              <w:t>粒</w:t>
            </w:r>
            <w:r>
              <w:rPr>
                <w:rFonts w:ascii="宋体" w:hAnsi="宋体"/>
              </w:rPr>
              <w:t>）</w:t>
            </w:r>
          </w:p>
          <w:p>
            <w:pPr>
              <w:autoSpaceDN w:val="0"/>
              <w:jc w:val="center"/>
              <w:textAlignment w:val="center"/>
              <w:rPr>
                <w:rFonts w:ascii="宋体" w:hAnsi="宋体"/>
              </w:rPr>
            </w:pP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rPr>
            </w:pPr>
            <w:r>
              <w:rPr>
                <w:rFonts w:hint="eastAsia" w:ascii="宋体" w:hAnsi="宋体"/>
              </w:rPr>
              <w:t>1.每2个疗程需提供治疗有效的证据后方可继续支付;2.由三级医院血液专科或血液专科医院医师处方;3.与来那度胺联合使用时，只支付伊沙佐米或来那度胺中的一种。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val="en-US" w:eastAsia="zh-CN"/>
              </w:rPr>
            </w:pPr>
            <w:r>
              <w:rPr>
                <w:rFonts w:hint="eastAsia" w:ascii="宋体" w:hAnsi="宋体"/>
                <w:lang w:val="en-US" w:eastAsia="zh-CN"/>
              </w:rPr>
              <w:t>16</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培门冬酶</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lang w:eastAsia="zh-CN"/>
              </w:rPr>
              <w:t>注射剂</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lang w:val="en-US" w:eastAsia="zh-CN"/>
              </w:rPr>
            </w:pPr>
            <w:r>
              <w:rPr>
                <w:rFonts w:hint="eastAsia" w:ascii="宋体" w:hAnsi="宋体"/>
                <w:lang w:val="en-US" w:eastAsia="zh-CN"/>
              </w:rPr>
              <w:t>2980元（5ml：3750IU/支）</w:t>
            </w:r>
          </w:p>
          <w:p>
            <w:pPr>
              <w:autoSpaceDN w:val="0"/>
              <w:jc w:val="center"/>
              <w:textAlignment w:val="center"/>
              <w:rPr>
                <w:rFonts w:hint="eastAsia" w:ascii="宋体" w:hAnsi="宋体"/>
                <w:lang w:val="en-US" w:eastAsia="zh-CN"/>
              </w:rPr>
            </w:pPr>
            <w:r>
              <w:rPr>
                <w:rFonts w:hint="eastAsia" w:ascii="宋体" w:hAnsi="宋体"/>
                <w:lang w:val="en-US" w:eastAsia="zh-CN"/>
              </w:rPr>
              <w:t>1477.7元（2ml：1500IU/支）</w:t>
            </w:r>
          </w:p>
          <w:p>
            <w:pPr>
              <w:autoSpaceDN w:val="0"/>
              <w:jc w:val="center"/>
              <w:textAlignment w:val="center"/>
              <w:rPr>
                <w:rFonts w:hint="eastAsia" w:ascii="宋体" w:hAnsi="宋体"/>
                <w:lang w:val="en-US" w:eastAsia="zh-CN"/>
              </w:rPr>
            </w:pP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rPr>
            </w:pPr>
            <w:r>
              <w:rPr>
                <w:rFonts w:hint="eastAsia" w:ascii="宋体" w:hAnsi="宋体"/>
              </w:rPr>
              <w:t>儿童急性淋巴细胞白血病患者的一线治疗。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val="en-US" w:eastAsia="zh-CN"/>
              </w:rPr>
            </w:pPr>
            <w:r>
              <w:rPr>
                <w:rFonts w:hint="eastAsia" w:ascii="宋体" w:hAnsi="宋体"/>
                <w:lang w:val="en-US" w:eastAsia="zh-CN"/>
              </w:rPr>
              <w:t>17</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rPr>
            </w:pPr>
            <w:r>
              <w:rPr>
                <w:rFonts w:hint="eastAsia" w:ascii="宋体" w:hAnsi="宋体"/>
              </w:rPr>
              <w:t>奥曲肽</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lang w:eastAsia="zh-CN"/>
              </w:rPr>
            </w:pPr>
            <w:r>
              <w:rPr>
                <w:rFonts w:hint="eastAsia" w:ascii="宋体" w:hAnsi="宋体"/>
                <w:lang w:eastAsia="zh-CN"/>
              </w:rPr>
              <w:t>微球注射剂</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lang w:val="en-US" w:eastAsia="zh-CN"/>
              </w:rPr>
            </w:pPr>
            <w:r>
              <w:rPr>
                <w:rFonts w:hint="eastAsia" w:ascii="宋体" w:hAnsi="宋体"/>
                <w:lang w:val="en-US" w:eastAsia="zh-CN"/>
              </w:rPr>
              <w:t>7911元（30mg/瓶）</w:t>
            </w:r>
          </w:p>
          <w:p>
            <w:pPr>
              <w:autoSpaceDN w:val="0"/>
              <w:jc w:val="center"/>
              <w:textAlignment w:val="center"/>
              <w:rPr>
                <w:rFonts w:hint="eastAsia" w:ascii="宋体" w:hAnsi="宋体"/>
                <w:lang w:val="en-US" w:eastAsia="zh-CN"/>
              </w:rPr>
            </w:pPr>
            <w:r>
              <w:rPr>
                <w:rFonts w:hint="eastAsia" w:ascii="宋体" w:hAnsi="宋体"/>
                <w:lang w:val="en-US" w:eastAsia="zh-CN"/>
              </w:rPr>
              <w:t>5800元（20mg/瓶）</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rPr>
            </w:pPr>
            <w:r>
              <w:rPr>
                <w:rFonts w:hint="eastAsia" w:ascii="宋体" w:hAnsi="宋体"/>
              </w:rPr>
              <w:t>胃肠胰内分泌肿瘤、肢端肥大症，按说明书用药。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lang w:val="en-US" w:eastAsia="zh-CN"/>
              </w:rPr>
            </w:pPr>
            <w:r>
              <w:rPr>
                <w:rFonts w:hint="eastAsia" w:ascii="宋体" w:hAnsi="宋体"/>
                <w:lang w:val="en-US" w:eastAsia="zh-CN"/>
              </w:rPr>
              <w:t>18</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highlight w:val="none"/>
                <w:lang w:eastAsia="zh-CN"/>
              </w:rPr>
            </w:pPr>
            <w:r>
              <w:rPr>
                <w:rFonts w:hint="eastAsia" w:ascii="宋体" w:hAnsi="宋体"/>
                <w:highlight w:val="none"/>
                <w:lang w:eastAsia="zh-CN"/>
              </w:rPr>
              <w:t>吉非替尼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highlight w:val="none"/>
              </w:rPr>
            </w:pPr>
            <w:r>
              <w:rPr>
                <w:rFonts w:ascii="宋体" w:hAnsi="宋体"/>
                <w:highlight w:val="none"/>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highlight w:val="none"/>
                <w:lang w:val="en-US" w:eastAsia="zh-CN"/>
              </w:rPr>
            </w:pPr>
            <w:r>
              <w:rPr>
                <w:rFonts w:hint="eastAsia" w:ascii="宋体" w:hAnsi="宋体"/>
                <w:highlight w:val="none"/>
              </w:rPr>
              <w:t>228</w:t>
            </w:r>
            <w:r>
              <w:rPr>
                <w:rFonts w:hint="eastAsia" w:ascii="宋体" w:hAnsi="宋体"/>
                <w:highlight w:val="none"/>
                <w:lang w:eastAsia="zh-CN"/>
              </w:rPr>
              <w:t>元</w:t>
            </w:r>
            <w:r>
              <w:rPr>
                <w:rFonts w:hint="eastAsia" w:ascii="宋体" w:hAnsi="宋体"/>
                <w:highlight w:val="none"/>
              </w:rPr>
              <w:t>（</w:t>
            </w:r>
            <w:r>
              <w:rPr>
                <w:rFonts w:hint="eastAsia" w:ascii="宋体" w:hAnsi="宋体"/>
                <w:highlight w:val="none"/>
                <w:lang w:eastAsia="zh-CN"/>
              </w:rPr>
              <w:t>0</w:t>
            </w:r>
            <w:r>
              <w:rPr>
                <w:rFonts w:hint="eastAsia" w:ascii="宋体" w:hAnsi="宋体"/>
                <w:highlight w:val="none"/>
                <w:lang w:val="en-US" w:eastAsia="zh-CN"/>
              </w:rPr>
              <w:t>.25</w:t>
            </w:r>
            <w:r>
              <w:rPr>
                <w:rFonts w:hint="eastAsia" w:ascii="宋体" w:hAnsi="宋体"/>
                <w:highlight w:val="none"/>
              </w:rPr>
              <w:t>g/片）</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highlight w:val="none"/>
              </w:rPr>
            </w:pPr>
            <w:r>
              <w:rPr>
                <w:rFonts w:hint="eastAsia" w:ascii="宋体" w:hAnsi="宋体"/>
                <w:highlight w:val="none"/>
              </w:rPr>
              <w:t>限EGFR基因敏感突变的晚期非小细胞肺癌。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4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lang w:val="en-US" w:eastAsia="zh-CN"/>
              </w:rPr>
            </w:pPr>
            <w:r>
              <w:rPr>
                <w:rFonts w:hint="eastAsia" w:ascii="宋体" w:hAnsi="宋体"/>
                <w:lang w:val="en-US" w:eastAsia="zh-CN"/>
              </w:rPr>
              <w:t>19</w:t>
            </w:r>
          </w:p>
        </w:tc>
        <w:tc>
          <w:tcPr>
            <w:tcW w:w="137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highlight w:val="none"/>
                <w:lang w:eastAsia="zh-CN"/>
              </w:rPr>
            </w:pPr>
            <w:r>
              <w:rPr>
                <w:rFonts w:hint="eastAsia" w:ascii="宋体" w:hAnsi="宋体"/>
                <w:highlight w:val="none"/>
                <w:lang w:eastAsia="zh-CN"/>
              </w:rPr>
              <w:t>埃克替尼</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highlight w:val="none"/>
              </w:rPr>
            </w:pPr>
            <w:r>
              <w:rPr>
                <w:rFonts w:ascii="宋体" w:hAnsi="宋体"/>
                <w:highlight w:val="none"/>
              </w:rPr>
              <w:t>口服常释剂型</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highlight w:val="none"/>
                <w:lang w:val="en-US" w:eastAsia="zh-CN"/>
              </w:rPr>
            </w:pPr>
            <w:r>
              <w:rPr>
                <w:rFonts w:hint="eastAsia" w:ascii="宋体" w:hAnsi="宋体"/>
                <w:highlight w:val="none"/>
              </w:rPr>
              <w:t>64.05元（125mg/片）</w:t>
            </w:r>
          </w:p>
        </w:tc>
        <w:tc>
          <w:tcPr>
            <w:tcW w:w="397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highlight w:val="none"/>
              </w:rPr>
            </w:pPr>
            <w:r>
              <w:rPr>
                <w:rFonts w:hint="eastAsia" w:ascii="宋体" w:hAnsi="宋体"/>
                <w:highlight w:val="none"/>
              </w:rPr>
              <w:t>限EGFR基因敏感突变的晚期非小细胞肺癌。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75768"/>
    <w:rsid w:val="7B87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2019-01-21T09:10:00Z</dcterms:created>
  <dc:creator>李照锋</dc:creator>
  <cp:lastModifiedBy>李照锋</cp:lastModifiedBy>
  <dcterms:modified xsi:type="dcterms:W3CDTF">2019-01-21T09:11:11Z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